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3D" w:rsidRPr="00472611" w:rsidRDefault="0004266C" w:rsidP="0004266C">
      <w:pPr>
        <w:jc w:val="center"/>
        <w:rPr>
          <w:b/>
          <w:sz w:val="32"/>
          <w:szCs w:val="32"/>
        </w:rPr>
      </w:pPr>
      <w:r w:rsidRPr="00472611">
        <w:rPr>
          <w:b/>
          <w:sz w:val="32"/>
          <w:szCs w:val="32"/>
        </w:rPr>
        <w:t xml:space="preserve">Arts and Sciences Tenure </w:t>
      </w:r>
      <w:r w:rsidR="00A15A90" w:rsidRPr="00472611">
        <w:rPr>
          <w:b/>
          <w:sz w:val="32"/>
          <w:szCs w:val="32"/>
        </w:rPr>
        <w:t xml:space="preserve">Review </w:t>
      </w:r>
      <w:r w:rsidRPr="00472611">
        <w:rPr>
          <w:b/>
          <w:sz w:val="32"/>
          <w:szCs w:val="32"/>
        </w:rPr>
        <w:t>Guidelines</w:t>
      </w:r>
    </w:p>
    <w:p w:rsidR="0004266C" w:rsidRPr="00472611" w:rsidRDefault="00472611" w:rsidP="0004266C">
      <w:pPr>
        <w:jc w:val="center"/>
        <w:rPr>
          <w:b/>
          <w:sz w:val="24"/>
          <w:szCs w:val="24"/>
        </w:rPr>
      </w:pPr>
      <w:r w:rsidRPr="00472611">
        <w:rPr>
          <w:b/>
          <w:sz w:val="24"/>
          <w:szCs w:val="24"/>
        </w:rPr>
        <w:t>November 2011</w:t>
      </w:r>
    </w:p>
    <w:p w:rsidR="00195C00" w:rsidRPr="00525E92" w:rsidRDefault="00195C00" w:rsidP="0041528E">
      <w:pPr>
        <w:rPr>
          <w:b/>
          <w:sz w:val="24"/>
          <w:szCs w:val="24"/>
        </w:rPr>
      </w:pPr>
      <w:r w:rsidRPr="00525E92">
        <w:rPr>
          <w:b/>
          <w:sz w:val="24"/>
          <w:szCs w:val="24"/>
        </w:rPr>
        <w:t>Introduction</w:t>
      </w:r>
    </w:p>
    <w:p w:rsidR="00195C00" w:rsidRPr="00525E92" w:rsidRDefault="00195C00" w:rsidP="0041528E">
      <w:pPr>
        <w:rPr>
          <w:sz w:val="24"/>
          <w:szCs w:val="24"/>
        </w:rPr>
      </w:pPr>
      <w:r w:rsidRPr="00525E92">
        <w:rPr>
          <w:sz w:val="24"/>
          <w:szCs w:val="24"/>
        </w:rPr>
        <w:t xml:space="preserve">The Executive Vice President for Arts and Sciences depends on a standing committee to conduct an Arts and Sciences level evaluation whenever a department or school recommends a candidate for tenure. </w:t>
      </w:r>
      <w:r w:rsidR="00080CD4">
        <w:rPr>
          <w:sz w:val="24"/>
          <w:szCs w:val="24"/>
        </w:rPr>
        <w:t>The</w:t>
      </w:r>
      <w:r w:rsidR="00080CD4" w:rsidRPr="00312317">
        <w:rPr>
          <w:sz w:val="24"/>
          <w:szCs w:val="24"/>
        </w:rPr>
        <w:t xml:space="preserve"> </w:t>
      </w:r>
      <w:r w:rsidR="004712F7" w:rsidRPr="00312317">
        <w:rPr>
          <w:sz w:val="24"/>
          <w:szCs w:val="24"/>
        </w:rPr>
        <w:t>purpose</w:t>
      </w:r>
      <w:r w:rsidRPr="00312317">
        <w:rPr>
          <w:sz w:val="24"/>
          <w:szCs w:val="24"/>
        </w:rPr>
        <w:t xml:space="preserve"> </w:t>
      </w:r>
      <w:r w:rsidR="00080CD4">
        <w:rPr>
          <w:sz w:val="24"/>
          <w:szCs w:val="24"/>
        </w:rPr>
        <w:t xml:space="preserve">of this evaluation </w:t>
      </w:r>
      <w:r w:rsidRPr="00312317">
        <w:rPr>
          <w:sz w:val="24"/>
          <w:szCs w:val="24"/>
        </w:rPr>
        <w:t>is to assess whether</w:t>
      </w:r>
      <w:r w:rsidR="00312317" w:rsidRPr="00312317">
        <w:rPr>
          <w:sz w:val="24"/>
          <w:szCs w:val="24"/>
        </w:rPr>
        <w:t xml:space="preserve"> </w:t>
      </w:r>
      <w:r w:rsidRPr="00312317">
        <w:rPr>
          <w:sz w:val="24"/>
          <w:szCs w:val="24"/>
        </w:rPr>
        <w:t xml:space="preserve">the department or school level review </w:t>
      </w:r>
      <w:r w:rsidR="00560E50" w:rsidRPr="00312317">
        <w:rPr>
          <w:sz w:val="24"/>
          <w:szCs w:val="24"/>
        </w:rPr>
        <w:t>w</w:t>
      </w:r>
      <w:r w:rsidR="00560E50">
        <w:rPr>
          <w:sz w:val="24"/>
          <w:szCs w:val="24"/>
        </w:rPr>
        <w:t>as</w:t>
      </w:r>
      <w:r w:rsidR="00560E50" w:rsidRPr="00312317">
        <w:rPr>
          <w:sz w:val="24"/>
          <w:szCs w:val="24"/>
        </w:rPr>
        <w:t xml:space="preserve"> </w:t>
      </w:r>
      <w:r w:rsidRPr="00312317">
        <w:rPr>
          <w:sz w:val="24"/>
          <w:szCs w:val="24"/>
        </w:rPr>
        <w:t>rigorous and substantive and to ensure that all Arts and Sciences candidates meet the same high standards</w:t>
      </w:r>
      <w:r w:rsidR="00080CD4">
        <w:rPr>
          <w:sz w:val="24"/>
          <w:szCs w:val="24"/>
        </w:rPr>
        <w:t>. In this way,</w:t>
      </w:r>
      <w:r w:rsidR="004712F7" w:rsidRPr="00312317">
        <w:rPr>
          <w:sz w:val="24"/>
          <w:szCs w:val="24"/>
        </w:rPr>
        <w:t xml:space="preserve"> </w:t>
      </w:r>
      <w:r w:rsidRPr="00312317">
        <w:rPr>
          <w:sz w:val="24"/>
          <w:szCs w:val="24"/>
        </w:rPr>
        <w:t xml:space="preserve">a faculty of the highest quality and distinction </w:t>
      </w:r>
      <w:r w:rsidR="00560E50">
        <w:rPr>
          <w:sz w:val="24"/>
          <w:szCs w:val="24"/>
        </w:rPr>
        <w:t>will be maintained</w:t>
      </w:r>
      <w:r w:rsidRPr="00312317">
        <w:rPr>
          <w:sz w:val="24"/>
          <w:szCs w:val="24"/>
        </w:rPr>
        <w:t>.</w:t>
      </w:r>
    </w:p>
    <w:p w:rsidR="00C87E08" w:rsidRDefault="00417CC8" w:rsidP="0041528E">
      <w:pPr>
        <w:rPr>
          <w:sz w:val="24"/>
          <w:szCs w:val="24"/>
        </w:rPr>
      </w:pPr>
      <w:r w:rsidRPr="00312317">
        <w:rPr>
          <w:sz w:val="24"/>
          <w:szCs w:val="24"/>
        </w:rPr>
        <w:t>The standing committee – the Promotion and Tenure Committee (PTC) – serves in an advisory capacity to the Executive Vice President who determines whether or not the candidate should be recommended to the Provost for tenure. The</w:t>
      </w:r>
      <w:r w:rsidRPr="00525E92">
        <w:rPr>
          <w:sz w:val="24"/>
          <w:szCs w:val="24"/>
        </w:rPr>
        <w:t xml:space="preserve"> Arts and Sciences standing committee </w:t>
      </w:r>
      <w:r w:rsidRPr="00080CD4">
        <w:rPr>
          <w:sz w:val="24"/>
          <w:szCs w:val="24"/>
        </w:rPr>
        <w:t xml:space="preserve">is administered on behalf of </w:t>
      </w:r>
      <w:r w:rsidR="007E4A0D" w:rsidRPr="00080CD4">
        <w:rPr>
          <w:sz w:val="24"/>
          <w:szCs w:val="24"/>
        </w:rPr>
        <w:t>the</w:t>
      </w:r>
      <w:r w:rsidR="007E4A0D" w:rsidRPr="007E4A0D">
        <w:rPr>
          <w:sz w:val="24"/>
          <w:szCs w:val="24"/>
        </w:rPr>
        <w:t xml:space="preserve"> </w:t>
      </w:r>
      <w:r w:rsidRPr="007E4A0D">
        <w:rPr>
          <w:sz w:val="24"/>
          <w:szCs w:val="24"/>
        </w:rPr>
        <w:t>Executive</w:t>
      </w:r>
      <w:r w:rsidRPr="00AB3C93">
        <w:rPr>
          <w:sz w:val="24"/>
          <w:szCs w:val="24"/>
        </w:rPr>
        <w:t xml:space="preserve"> Vice President by the Execut</w:t>
      </w:r>
      <w:r w:rsidR="004F4A1C" w:rsidRPr="00AB3C93">
        <w:rPr>
          <w:sz w:val="24"/>
          <w:szCs w:val="24"/>
        </w:rPr>
        <w:t>ive</w:t>
      </w:r>
      <w:r w:rsidR="00A00A48" w:rsidRPr="00AB3C93">
        <w:rPr>
          <w:sz w:val="24"/>
          <w:szCs w:val="24"/>
        </w:rPr>
        <w:t xml:space="preserve"> </w:t>
      </w:r>
      <w:proofErr w:type="gramStart"/>
      <w:r w:rsidR="00A00A48" w:rsidRPr="00AB3C93">
        <w:rPr>
          <w:sz w:val="24"/>
          <w:szCs w:val="24"/>
        </w:rPr>
        <w:t>Vice</w:t>
      </w:r>
      <w:proofErr w:type="gramEnd"/>
      <w:r w:rsidR="004F4A1C" w:rsidRPr="00AB3C93">
        <w:rPr>
          <w:sz w:val="24"/>
          <w:szCs w:val="24"/>
        </w:rPr>
        <w:t xml:space="preserve"> Dean</w:t>
      </w:r>
      <w:r w:rsidR="00213EF5" w:rsidRPr="00AB3C93">
        <w:rPr>
          <w:sz w:val="24"/>
          <w:szCs w:val="24"/>
        </w:rPr>
        <w:t xml:space="preserve"> of the</w:t>
      </w:r>
      <w:r w:rsidR="00A00A48" w:rsidRPr="00AB3C93">
        <w:rPr>
          <w:sz w:val="24"/>
          <w:szCs w:val="24"/>
        </w:rPr>
        <w:t xml:space="preserve"> Faculty of</w:t>
      </w:r>
      <w:r w:rsidR="00C87E08" w:rsidRPr="00AB3C93">
        <w:rPr>
          <w:sz w:val="24"/>
          <w:szCs w:val="24"/>
        </w:rPr>
        <w:t xml:space="preserve"> Arts and Sciences.</w:t>
      </w:r>
      <w:r w:rsidR="00C87E08">
        <w:rPr>
          <w:sz w:val="24"/>
          <w:szCs w:val="24"/>
        </w:rPr>
        <w:t xml:space="preserve"> </w:t>
      </w:r>
    </w:p>
    <w:p w:rsidR="0021600D" w:rsidRPr="00525E92" w:rsidRDefault="0021600D" w:rsidP="0041528E">
      <w:pPr>
        <w:rPr>
          <w:b/>
          <w:sz w:val="24"/>
          <w:szCs w:val="24"/>
        </w:rPr>
      </w:pPr>
      <w:r w:rsidRPr="00525E92">
        <w:rPr>
          <w:b/>
          <w:sz w:val="24"/>
          <w:szCs w:val="24"/>
        </w:rPr>
        <w:t>Part I</w:t>
      </w:r>
    </w:p>
    <w:p w:rsidR="0041528E" w:rsidRPr="00525E92" w:rsidRDefault="0041528E" w:rsidP="0041528E">
      <w:pPr>
        <w:rPr>
          <w:b/>
          <w:sz w:val="24"/>
          <w:szCs w:val="24"/>
        </w:rPr>
      </w:pPr>
      <w:r w:rsidRPr="00525E92">
        <w:rPr>
          <w:b/>
          <w:sz w:val="24"/>
          <w:szCs w:val="24"/>
        </w:rPr>
        <w:t>General Procedures</w:t>
      </w:r>
    </w:p>
    <w:p w:rsidR="0041528E" w:rsidRPr="00525E92" w:rsidRDefault="0021600D" w:rsidP="0041528E">
      <w:pPr>
        <w:rPr>
          <w:sz w:val="24"/>
          <w:szCs w:val="24"/>
        </w:rPr>
      </w:pPr>
      <w:r w:rsidRPr="00312317">
        <w:rPr>
          <w:sz w:val="24"/>
          <w:szCs w:val="24"/>
        </w:rPr>
        <w:t>Part 1 of t</w:t>
      </w:r>
      <w:r w:rsidR="0041528E" w:rsidRPr="00312317">
        <w:rPr>
          <w:sz w:val="24"/>
          <w:szCs w:val="24"/>
        </w:rPr>
        <w:t xml:space="preserve">his document provides an overview of the </w:t>
      </w:r>
      <w:r w:rsidR="00AE27A4" w:rsidRPr="00312317">
        <w:rPr>
          <w:sz w:val="24"/>
          <w:szCs w:val="24"/>
        </w:rPr>
        <w:t xml:space="preserve">policies and </w:t>
      </w:r>
      <w:r w:rsidR="0041528E" w:rsidRPr="00312317">
        <w:rPr>
          <w:sz w:val="24"/>
          <w:szCs w:val="24"/>
        </w:rPr>
        <w:t xml:space="preserve">procedures for conducting tenure reviews </w:t>
      </w:r>
      <w:r w:rsidR="00EA7053" w:rsidRPr="00312317">
        <w:rPr>
          <w:sz w:val="24"/>
          <w:szCs w:val="24"/>
        </w:rPr>
        <w:t>at</w:t>
      </w:r>
      <w:r w:rsidR="00560E50">
        <w:rPr>
          <w:sz w:val="24"/>
          <w:szCs w:val="24"/>
        </w:rPr>
        <w:t xml:space="preserve"> the Arts and Sciences level</w:t>
      </w:r>
      <w:r w:rsidR="0041528E" w:rsidRPr="00312317">
        <w:rPr>
          <w:sz w:val="24"/>
          <w:szCs w:val="24"/>
        </w:rPr>
        <w:t xml:space="preserve">. It describes how the </w:t>
      </w:r>
      <w:r w:rsidR="007E4A0D" w:rsidRPr="00312317">
        <w:rPr>
          <w:sz w:val="24"/>
          <w:szCs w:val="24"/>
        </w:rPr>
        <w:t xml:space="preserve">PTC </w:t>
      </w:r>
      <w:r w:rsidR="0041528E" w:rsidRPr="00312317">
        <w:rPr>
          <w:sz w:val="24"/>
          <w:szCs w:val="24"/>
        </w:rPr>
        <w:t>is constituted, the work of the PTC</w:t>
      </w:r>
      <w:r w:rsidR="00403B0E">
        <w:rPr>
          <w:sz w:val="24"/>
          <w:szCs w:val="24"/>
        </w:rPr>
        <w:t>,</w:t>
      </w:r>
      <w:r w:rsidR="0041528E" w:rsidRPr="00312317">
        <w:rPr>
          <w:sz w:val="24"/>
          <w:szCs w:val="24"/>
        </w:rPr>
        <w:t xml:space="preserve"> and the manner in which its meetings are conducted. </w:t>
      </w:r>
      <w:r w:rsidRPr="00312317">
        <w:rPr>
          <w:sz w:val="24"/>
          <w:szCs w:val="24"/>
        </w:rPr>
        <w:t>Part 2</w:t>
      </w:r>
      <w:r w:rsidR="0041528E" w:rsidRPr="00312317">
        <w:rPr>
          <w:sz w:val="24"/>
          <w:szCs w:val="24"/>
        </w:rPr>
        <w:t xml:space="preserve"> provides guidelines for schools and departments to follow in preparing nominations for </w:t>
      </w:r>
      <w:r w:rsidR="0046626F" w:rsidRPr="00312317">
        <w:rPr>
          <w:sz w:val="24"/>
          <w:szCs w:val="24"/>
        </w:rPr>
        <w:t xml:space="preserve">tenure review </w:t>
      </w:r>
      <w:r w:rsidR="0041528E" w:rsidRPr="00312317">
        <w:rPr>
          <w:sz w:val="24"/>
          <w:szCs w:val="24"/>
        </w:rPr>
        <w:t xml:space="preserve">and a schedule for submitting materials to the </w:t>
      </w:r>
      <w:r w:rsidR="0093393B" w:rsidRPr="00312317">
        <w:rPr>
          <w:sz w:val="24"/>
          <w:szCs w:val="24"/>
        </w:rPr>
        <w:t xml:space="preserve">Office of the </w:t>
      </w:r>
      <w:r w:rsidR="0041528E" w:rsidRPr="00312317">
        <w:rPr>
          <w:sz w:val="24"/>
          <w:szCs w:val="24"/>
        </w:rPr>
        <w:t xml:space="preserve">Executive Vice President for Arts and Sciences. This document should be read at all times in conjunction with the Provost’s </w:t>
      </w:r>
      <w:r w:rsidR="00200698" w:rsidRPr="00312317">
        <w:rPr>
          <w:sz w:val="24"/>
          <w:szCs w:val="24"/>
        </w:rPr>
        <w:t>Tenure Review</w:t>
      </w:r>
      <w:r w:rsidR="0041528E" w:rsidRPr="00312317">
        <w:rPr>
          <w:sz w:val="24"/>
          <w:szCs w:val="24"/>
        </w:rPr>
        <w:t xml:space="preserve"> Guidelines, “Principles and Customs Governing </w:t>
      </w:r>
      <w:r w:rsidR="00810C58" w:rsidRPr="00312317">
        <w:rPr>
          <w:sz w:val="24"/>
          <w:szCs w:val="24"/>
        </w:rPr>
        <w:t>University-Wide Tenure Review</w:t>
      </w:r>
      <w:r w:rsidR="0046626F" w:rsidRPr="00312317">
        <w:rPr>
          <w:sz w:val="24"/>
          <w:szCs w:val="24"/>
        </w:rPr>
        <w:t>s</w:t>
      </w:r>
      <w:r w:rsidR="0041528E" w:rsidRPr="00312317">
        <w:rPr>
          <w:sz w:val="24"/>
          <w:szCs w:val="24"/>
        </w:rPr>
        <w:t>,</w:t>
      </w:r>
      <w:r w:rsidR="00810C58" w:rsidRPr="00312317">
        <w:rPr>
          <w:sz w:val="24"/>
          <w:szCs w:val="24"/>
        </w:rPr>
        <w:t>”</w:t>
      </w:r>
      <w:r w:rsidR="0041528E" w:rsidRPr="00312317">
        <w:rPr>
          <w:sz w:val="24"/>
          <w:szCs w:val="24"/>
        </w:rPr>
        <w:t xml:space="preserve"> which are available at</w:t>
      </w:r>
      <w:r w:rsidR="00312317">
        <w:rPr>
          <w:sz w:val="24"/>
          <w:szCs w:val="24"/>
        </w:rPr>
        <w:t xml:space="preserve"> </w:t>
      </w:r>
      <w:r w:rsidR="0046626F" w:rsidRPr="00312317">
        <w:t>http://www.columbia.edu/cu/vpaa/docs/Columbia_University_Tenure_Guidelines.pdf</w:t>
      </w:r>
      <w:r w:rsidR="0041528E" w:rsidRPr="00312317">
        <w:rPr>
          <w:sz w:val="24"/>
          <w:szCs w:val="24"/>
        </w:rPr>
        <w:t>.</w:t>
      </w:r>
      <w:r w:rsidR="0041528E" w:rsidRPr="00525E92">
        <w:rPr>
          <w:sz w:val="24"/>
          <w:szCs w:val="24"/>
        </w:rPr>
        <w:t xml:space="preserve">  </w:t>
      </w:r>
    </w:p>
    <w:p w:rsidR="0041528E" w:rsidRPr="00525E92" w:rsidRDefault="0041528E" w:rsidP="0041528E">
      <w:pPr>
        <w:rPr>
          <w:b/>
          <w:sz w:val="24"/>
          <w:szCs w:val="24"/>
        </w:rPr>
      </w:pPr>
      <w:r w:rsidRPr="00525E92">
        <w:rPr>
          <w:b/>
          <w:sz w:val="24"/>
          <w:szCs w:val="24"/>
        </w:rPr>
        <w:t>Criteria for an Appointment to Tenure</w:t>
      </w:r>
    </w:p>
    <w:p w:rsidR="0041528E" w:rsidRPr="00525E92" w:rsidRDefault="0041528E" w:rsidP="0041528E">
      <w:pPr>
        <w:rPr>
          <w:sz w:val="24"/>
          <w:szCs w:val="24"/>
        </w:rPr>
      </w:pPr>
      <w:r w:rsidRPr="00525E92">
        <w:rPr>
          <w:sz w:val="24"/>
          <w:szCs w:val="24"/>
        </w:rPr>
        <w:t xml:space="preserve">The criteria for an appointment to tenure </w:t>
      </w:r>
      <w:r w:rsidR="00B81FED" w:rsidRPr="00525E92">
        <w:rPr>
          <w:sz w:val="24"/>
          <w:szCs w:val="24"/>
        </w:rPr>
        <w:t>are set forth in the Provost’s g</w:t>
      </w:r>
      <w:r w:rsidRPr="00525E92">
        <w:rPr>
          <w:sz w:val="24"/>
          <w:szCs w:val="24"/>
        </w:rPr>
        <w:t>uidelines</w:t>
      </w:r>
      <w:r w:rsidR="00B81FED" w:rsidRPr="00525E92">
        <w:rPr>
          <w:sz w:val="24"/>
          <w:szCs w:val="24"/>
        </w:rPr>
        <w:t>, “Principles and Customs Governing University-Wide Tenure Reviews”</w:t>
      </w:r>
      <w:r w:rsidRPr="00525E92">
        <w:rPr>
          <w:sz w:val="24"/>
          <w:szCs w:val="24"/>
        </w:rPr>
        <w:t>:</w:t>
      </w:r>
    </w:p>
    <w:p w:rsidR="00FF26AA" w:rsidRDefault="00BD7277" w:rsidP="00BD7277">
      <w:pPr>
        <w:spacing w:after="0"/>
        <w:ind w:left="720" w:right="720"/>
        <w:rPr>
          <w:sz w:val="24"/>
          <w:szCs w:val="24"/>
        </w:rPr>
      </w:pPr>
      <w:r w:rsidRPr="00525E92">
        <w:rPr>
          <w:sz w:val="24"/>
          <w:szCs w:val="24"/>
        </w:rPr>
        <w:t xml:space="preserve">“An appointment to tenure is made in the University only when an individual of widely recognized excellence is found to fill a scholarly need that is </w:t>
      </w:r>
    </w:p>
    <w:p w:rsidR="00BD7277" w:rsidRPr="00525E92" w:rsidRDefault="00BD7277" w:rsidP="00BD7277">
      <w:pPr>
        <w:spacing w:after="0"/>
        <w:ind w:left="720" w:right="720"/>
        <w:rPr>
          <w:sz w:val="24"/>
          <w:szCs w:val="24"/>
        </w:rPr>
      </w:pPr>
      <w:proofErr w:type="gramStart"/>
      <w:r w:rsidRPr="00525E92">
        <w:rPr>
          <w:sz w:val="24"/>
          <w:szCs w:val="24"/>
        </w:rPr>
        <w:t>demonstrably</w:t>
      </w:r>
      <w:proofErr w:type="gramEnd"/>
      <w:r w:rsidRPr="00525E92">
        <w:rPr>
          <w:sz w:val="24"/>
          <w:szCs w:val="24"/>
        </w:rPr>
        <w:t xml:space="preserve"> vital to a discipline central to the University's purposes.  The process of tenure review, therefore, is concerned with both the qualities of the </w:t>
      </w:r>
      <w:r w:rsidRPr="00525E92">
        <w:rPr>
          <w:sz w:val="24"/>
          <w:szCs w:val="24"/>
        </w:rPr>
        <w:lastRenderedPageBreak/>
        <w:t>nominee and the potential impact of the proposed appointment on the nominating department or school.</w:t>
      </w:r>
    </w:p>
    <w:p w:rsidR="00BD7277" w:rsidRPr="00525E92" w:rsidRDefault="00BD7277" w:rsidP="00BD7277">
      <w:pPr>
        <w:spacing w:after="0"/>
        <w:ind w:left="720" w:right="720"/>
        <w:rPr>
          <w:sz w:val="24"/>
          <w:szCs w:val="24"/>
        </w:rPr>
      </w:pPr>
    </w:p>
    <w:p w:rsidR="00BD7277" w:rsidRPr="00525E92" w:rsidRDefault="00BD7277" w:rsidP="00CB060F">
      <w:pPr>
        <w:spacing w:after="0"/>
        <w:ind w:left="720" w:right="720"/>
        <w:rPr>
          <w:sz w:val="24"/>
          <w:szCs w:val="24"/>
        </w:rPr>
      </w:pPr>
      <w:r w:rsidRPr="00525E92">
        <w:rPr>
          <w:sz w:val="24"/>
          <w:szCs w:val="24"/>
        </w:rPr>
        <w:t>Nomination to tenure is the occasion for a department or school to consider its current condition and its future direction.  Because of its financial implications, it may not fill a tenure position without prior budgetary authorization from the appropriate dean or vice president.  Budgetary authorization will generally specify the field or set of fields within which the appointment will be made, thereby implying a decision on academic priorities.  But it is not in itself a substitute for the case the nominating unit must make that the appointment will contribute materially to strengthening the quality of its scholarly and educational programs.</w:t>
      </w:r>
    </w:p>
    <w:p w:rsidR="00BD7277" w:rsidRPr="00525E92" w:rsidRDefault="00BD7277" w:rsidP="00BD7277">
      <w:pPr>
        <w:spacing w:after="0"/>
        <w:ind w:left="720" w:right="720"/>
        <w:rPr>
          <w:sz w:val="24"/>
          <w:szCs w:val="24"/>
        </w:rPr>
      </w:pPr>
    </w:p>
    <w:p w:rsidR="00BD7277" w:rsidRPr="00525E92" w:rsidRDefault="00BD7277" w:rsidP="00BD7277">
      <w:pPr>
        <w:spacing w:after="0"/>
        <w:ind w:left="720" w:right="720"/>
        <w:rPr>
          <w:rFonts w:cstheme="minorHAnsi"/>
          <w:sz w:val="24"/>
          <w:szCs w:val="24"/>
        </w:rPr>
      </w:pPr>
      <w:r w:rsidRPr="00525E92">
        <w:rPr>
          <w:sz w:val="24"/>
          <w:szCs w:val="24"/>
        </w:rPr>
        <w:t>Even more critical than the academic need for a tenure appointment are the qualifications of the individual proposed to fill it.  In every instance, the nominee must be an outstanding scholar, a person who has demonstrated the capacity for imaginative, original work and who shows</w:t>
      </w:r>
      <w:r w:rsidR="007E4A0D">
        <w:rPr>
          <w:sz w:val="24"/>
          <w:szCs w:val="24"/>
        </w:rPr>
        <w:t xml:space="preserve"> </w:t>
      </w:r>
      <w:r w:rsidRPr="004447B8">
        <w:rPr>
          <w:sz w:val="24"/>
          <w:szCs w:val="24"/>
        </w:rPr>
        <w:t>promise of continuing</w:t>
      </w:r>
      <w:r w:rsidRPr="00525E92">
        <w:rPr>
          <w:sz w:val="24"/>
          <w:szCs w:val="24"/>
        </w:rPr>
        <w:t xml:space="preserve"> to make significant contributions to research</w:t>
      </w:r>
      <w:r w:rsidRPr="00525E92">
        <w:rPr>
          <w:rFonts w:cstheme="minorHAnsi"/>
          <w:sz w:val="24"/>
          <w:szCs w:val="24"/>
        </w:rPr>
        <w:t xml:space="preserve">.  Excellence as a teacher is also necessary, but by itself is not a sufficient basis for tenure.  The essential requirement for the appointment of any nominee is scholarly achievement testifying to an unusually original and creative mind. </w:t>
      </w:r>
    </w:p>
    <w:p w:rsidR="00BD7277" w:rsidRPr="00525E92" w:rsidRDefault="00BD7277" w:rsidP="00BD7277">
      <w:pPr>
        <w:spacing w:after="0"/>
        <w:ind w:left="720" w:right="720"/>
        <w:rPr>
          <w:sz w:val="24"/>
          <w:szCs w:val="24"/>
        </w:rPr>
      </w:pPr>
    </w:p>
    <w:p w:rsidR="00BD7277" w:rsidRPr="00525E92" w:rsidRDefault="00BD7277" w:rsidP="00BD7277">
      <w:pPr>
        <w:spacing w:after="0"/>
        <w:ind w:left="720" w:right="720"/>
        <w:rPr>
          <w:sz w:val="24"/>
          <w:szCs w:val="24"/>
        </w:rPr>
      </w:pPr>
      <w:r w:rsidRPr="00525E92">
        <w:rPr>
          <w:sz w:val="24"/>
          <w:szCs w:val="24"/>
        </w:rPr>
        <w:t>Regardless of academic age, every candidate should have produced work of truly outstanding quality.  A candidate need not be one who has published much, provided his or her scholarly work meets the University’s high standards of excellence.  Tenure, moreover, is not simply a reward for past accomplishments.  It is also a vote of confidence that the candidate will continue to be an important and productive scholar.  Thus, a candidate must continue to have an active scholarly agenda that shows strong promise of yielding answers to fundamental questions in his or her discipline.</w:t>
      </w:r>
    </w:p>
    <w:p w:rsidR="00BD7277" w:rsidRPr="00525E92" w:rsidRDefault="00BD7277" w:rsidP="00BD7277">
      <w:pPr>
        <w:spacing w:after="0"/>
        <w:ind w:left="720" w:right="720"/>
        <w:rPr>
          <w:sz w:val="24"/>
          <w:szCs w:val="24"/>
        </w:rPr>
      </w:pPr>
    </w:p>
    <w:p w:rsidR="00BD7277" w:rsidRPr="00525E92" w:rsidRDefault="00BD7277" w:rsidP="00032345">
      <w:pPr>
        <w:spacing w:after="0"/>
        <w:ind w:left="720" w:right="720"/>
        <w:rPr>
          <w:sz w:val="24"/>
          <w:szCs w:val="24"/>
        </w:rPr>
      </w:pPr>
      <w:r w:rsidRPr="00525E92">
        <w:rPr>
          <w:sz w:val="24"/>
          <w:szCs w:val="24"/>
        </w:rPr>
        <w:t>Peer esteem is a valuable measure of scholarly ability.  Established scholars must be widely recognized as among the leaders in their disciplines.  Younger scholars must have achieved a level of scholarly accomplishment which demonstrates extraordinary promise.  Serious consideration should be given only to those younger scholars who can be expected, with a high degree of confidence, to become</w:t>
      </w:r>
      <w:r w:rsidR="00032345">
        <w:rPr>
          <w:sz w:val="24"/>
          <w:szCs w:val="24"/>
        </w:rPr>
        <w:t xml:space="preserve"> leaders in their disciplines.</w:t>
      </w:r>
      <w:r w:rsidR="00032345">
        <w:rPr>
          <w:sz w:val="24"/>
          <w:szCs w:val="24"/>
        </w:rPr>
        <w:tab/>
      </w:r>
      <w:r w:rsidRPr="00525E92">
        <w:rPr>
          <w:sz w:val="24"/>
          <w:szCs w:val="24"/>
        </w:rPr>
        <w:t xml:space="preserve">A comparable standard is applied when the candidate is in a professional or artistic discipline.  The customary academic </w:t>
      </w:r>
      <w:r w:rsidRPr="00525E92">
        <w:rPr>
          <w:sz w:val="24"/>
          <w:szCs w:val="24"/>
        </w:rPr>
        <w:lastRenderedPageBreak/>
        <w:t>measures provided by publications and papers may be augmented or replaced by other considerations, such as journalistic achievements, built architectural projects or creative works of arts.  However, in every case, candidates must have a record of highly original accomplishments, exhibit the potential for continuing to make influential professional or artistic contributions and be regarded by their peers as among the very best in their fields.</w:t>
      </w:r>
    </w:p>
    <w:p w:rsidR="00BD7277" w:rsidRPr="00525E92" w:rsidRDefault="00BD7277" w:rsidP="00BD7277">
      <w:pPr>
        <w:spacing w:after="0"/>
        <w:ind w:left="720" w:right="720"/>
        <w:rPr>
          <w:sz w:val="24"/>
          <w:szCs w:val="24"/>
        </w:rPr>
      </w:pPr>
    </w:p>
    <w:p w:rsidR="0041528E" w:rsidRPr="00525E92" w:rsidRDefault="00BD7277" w:rsidP="00BD7277">
      <w:pPr>
        <w:spacing w:after="0" w:line="240" w:lineRule="auto"/>
        <w:ind w:left="720" w:right="720"/>
        <w:rPr>
          <w:sz w:val="24"/>
          <w:szCs w:val="24"/>
        </w:rPr>
      </w:pPr>
      <w:r w:rsidRPr="00525E92">
        <w:rPr>
          <w:sz w:val="24"/>
          <w:szCs w:val="24"/>
        </w:rPr>
        <w:t xml:space="preserve">These criteria must necessarily be interpreted with flexibility to take into account the differing disciplines of the candidates and the missions of their schools.  Nonetheless, all candidates must be or have the potential of becoming leading figures in a field that is intellectually vital and important to the University.  The burden of demonstrating that a candidate meets those criteria rests with the nominating department or school. </w:t>
      </w:r>
      <w:r w:rsidR="00D643D6">
        <w:rPr>
          <w:sz w:val="24"/>
          <w:szCs w:val="24"/>
        </w:rPr>
        <w:t xml:space="preserve">The </w:t>
      </w:r>
      <w:r w:rsidR="00D643D6">
        <w:t>Tenure Review Advisory Committee</w:t>
      </w:r>
      <w:r w:rsidRPr="00525E92">
        <w:rPr>
          <w:sz w:val="24"/>
          <w:szCs w:val="24"/>
        </w:rPr>
        <w:t xml:space="preserve"> </w:t>
      </w:r>
      <w:r w:rsidR="00D643D6">
        <w:rPr>
          <w:sz w:val="24"/>
          <w:szCs w:val="24"/>
        </w:rPr>
        <w:t>(</w:t>
      </w:r>
      <w:r w:rsidRPr="00525E92">
        <w:rPr>
          <w:sz w:val="24"/>
          <w:szCs w:val="24"/>
        </w:rPr>
        <w:t>TRAC</w:t>
      </w:r>
      <w:r w:rsidR="00D643D6">
        <w:rPr>
          <w:sz w:val="24"/>
          <w:szCs w:val="24"/>
        </w:rPr>
        <w:t>)</w:t>
      </w:r>
      <w:r w:rsidRPr="00525E92">
        <w:rPr>
          <w:sz w:val="24"/>
          <w:szCs w:val="24"/>
        </w:rPr>
        <w:t xml:space="preserve"> will recommend in favor of awarding tenure only if it finds that the department or school has provided evidence that there is a compelling affirmative case for the nomination.</w:t>
      </w:r>
      <w:r w:rsidR="0041528E" w:rsidRPr="00525E92">
        <w:rPr>
          <w:sz w:val="24"/>
          <w:szCs w:val="24"/>
        </w:rPr>
        <w:t>”</w:t>
      </w:r>
    </w:p>
    <w:p w:rsidR="0041528E" w:rsidRPr="00525E92" w:rsidRDefault="0041528E" w:rsidP="0041528E">
      <w:pPr>
        <w:spacing w:after="0" w:line="240" w:lineRule="auto"/>
        <w:ind w:left="720" w:right="720"/>
        <w:rPr>
          <w:sz w:val="24"/>
          <w:szCs w:val="24"/>
        </w:rPr>
      </w:pPr>
    </w:p>
    <w:p w:rsidR="00015487" w:rsidRPr="00525E92" w:rsidRDefault="00015487" w:rsidP="0041528E">
      <w:pPr>
        <w:rPr>
          <w:b/>
          <w:sz w:val="24"/>
          <w:szCs w:val="24"/>
        </w:rPr>
      </w:pPr>
      <w:r w:rsidRPr="00525E92">
        <w:rPr>
          <w:b/>
          <w:sz w:val="24"/>
          <w:szCs w:val="24"/>
        </w:rPr>
        <w:t>Nomination to Tenure</w:t>
      </w:r>
    </w:p>
    <w:p w:rsidR="00015487" w:rsidRPr="00312317" w:rsidRDefault="003553AC" w:rsidP="00015487">
      <w:pPr>
        <w:rPr>
          <w:sz w:val="24"/>
          <w:szCs w:val="24"/>
        </w:rPr>
      </w:pPr>
      <w:r w:rsidRPr="00312317">
        <w:rPr>
          <w:sz w:val="24"/>
          <w:szCs w:val="24"/>
        </w:rPr>
        <w:t>E</w:t>
      </w:r>
      <w:r w:rsidR="00015487" w:rsidRPr="00312317">
        <w:rPr>
          <w:sz w:val="24"/>
          <w:szCs w:val="24"/>
        </w:rPr>
        <w:t xml:space="preserve">very nomination requires a positive vote by the tenured faculty in the relevant department </w:t>
      </w:r>
      <w:r w:rsidR="00BF4ABC" w:rsidRPr="00312317">
        <w:rPr>
          <w:sz w:val="24"/>
          <w:szCs w:val="24"/>
        </w:rPr>
        <w:t>and, in the case of the School of the Arts, a positive vote by the tenured faculty and the endorsement of the dean</w:t>
      </w:r>
      <w:r w:rsidR="00015487" w:rsidRPr="00312317">
        <w:rPr>
          <w:sz w:val="24"/>
          <w:szCs w:val="24"/>
        </w:rPr>
        <w:t xml:space="preserve">.  At a minimum, a majority of the eligible tenured faculty </w:t>
      </w:r>
      <w:r w:rsidR="003F4B10" w:rsidRPr="00312317">
        <w:rPr>
          <w:sz w:val="24"/>
          <w:szCs w:val="24"/>
        </w:rPr>
        <w:t xml:space="preserve">in a department </w:t>
      </w:r>
      <w:r w:rsidR="00E8227F" w:rsidRPr="00312317">
        <w:rPr>
          <w:sz w:val="24"/>
          <w:szCs w:val="24"/>
        </w:rPr>
        <w:t>or school</w:t>
      </w:r>
      <w:r w:rsidR="003F4B10" w:rsidRPr="00312317">
        <w:rPr>
          <w:sz w:val="24"/>
          <w:szCs w:val="24"/>
        </w:rPr>
        <w:t xml:space="preserve"> </w:t>
      </w:r>
      <w:r w:rsidR="00015487" w:rsidRPr="00312317">
        <w:rPr>
          <w:sz w:val="24"/>
          <w:szCs w:val="24"/>
        </w:rPr>
        <w:t xml:space="preserve">must vote in favor of forwarding it for review by </w:t>
      </w:r>
      <w:r w:rsidR="00737CD7" w:rsidRPr="00312317">
        <w:rPr>
          <w:sz w:val="24"/>
          <w:szCs w:val="24"/>
        </w:rPr>
        <w:t>the PTC</w:t>
      </w:r>
      <w:r w:rsidR="00312317">
        <w:rPr>
          <w:sz w:val="24"/>
          <w:szCs w:val="24"/>
        </w:rPr>
        <w:t xml:space="preserve">. </w:t>
      </w:r>
      <w:r w:rsidR="00015487" w:rsidRPr="00312317">
        <w:rPr>
          <w:sz w:val="24"/>
          <w:szCs w:val="24"/>
        </w:rPr>
        <w:t>The decision on whether to nominate must be made by an open vote or by signed ballots</w:t>
      </w:r>
      <w:r w:rsidR="00D643D6">
        <w:rPr>
          <w:sz w:val="24"/>
          <w:szCs w:val="24"/>
        </w:rPr>
        <w:t>, or a mechanism must be in place that permits</w:t>
      </w:r>
      <w:r w:rsidR="00DC2816" w:rsidRPr="00312317">
        <w:rPr>
          <w:sz w:val="24"/>
          <w:szCs w:val="24"/>
        </w:rPr>
        <w:t xml:space="preserve"> </w:t>
      </w:r>
      <w:r w:rsidR="00015487" w:rsidRPr="00312317">
        <w:rPr>
          <w:sz w:val="24"/>
          <w:szCs w:val="24"/>
        </w:rPr>
        <w:t xml:space="preserve">any faculty who vote no </w:t>
      </w:r>
      <w:r w:rsidR="00A907AE">
        <w:rPr>
          <w:sz w:val="24"/>
          <w:szCs w:val="24"/>
        </w:rPr>
        <w:t xml:space="preserve">or abstain </w:t>
      </w:r>
      <w:r w:rsidR="00D643D6">
        <w:rPr>
          <w:sz w:val="24"/>
          <w:szCs w:val="24"/>
        </w:rPr>
        <w:t xml:space="preserve">to </w:t>
      </w:r>
      <w:r w:rsidR="00015487" w:rsidRPr="00312317">
        <w:rPr>
          <w:sz w:val="24"/>
          <w:szCs w:val="24"/>
        </w:rPr>
        <w:t xml:space="preserve">be identified and asked to provide </w:t>
      </w:r>
      <w:r w:rsidR="00213EF5" w:rsidRPr="00312317">
        <w:rPr>
          <w:sz w:val="24"/>
          <w:szCs w:val="24"/>
        </w:rPr>
        <w:t>the PTC</w:t>
      </w:r>
      <w:r w:rsidR="00015487" w:rsidRPr="00312317">
        <w:rPr>
          <w:sz w:val="24"/>
          <w:szCs w:val="24"/>
        </w:rPr>
        <w:t xml:space="preserve"> with an explanation of th</w:t>
      </w:r>
      <w:r w:rsidR="00737CD7" w:rsidRPr="00312317">
        <w:rPr>
          <w:sz w:val="24"/>
          <w:szCs w:val="24"/>
        </w:rPr>
        <w:t>e reasons for their opposition</w:t>
      </w:r>
      <w:r w:rsidR="00A907AE">
        <w:rPr>
          <w:sz w:val="24"/>
          <w:szCs w:val="24"/>
        </w:rPr>
        <w:t xml:space="preserve"> or abstention</w:t>
      </w:r>
      <w:r w:rsidR="00737CD7" w:rsidRPr="00312317">
        <w:rPr>
          <w:sz w:val="24"/>
          <w:szCs w:val="24"/>
        </w:rPr>
        <w:t xml:space="preserve">. </w:t>
      </w:r>
      <w:r w:rsidR="00015487" w:rsidRPr="00312317">
        <w:rPr>
          <w:sz w:val="24"/>
          <w:szCs w:val="24"/>
        </w:rPr>
        <w:t>Joint appointments require positive votes from all of the nomin</w:t>
      </w:r>
      <w:r w:rsidR="00737CD7" w:rsidRPr="00312317">
        <w:rPr>
          <w:sz w:val="24"/>
          <w:szCs w:val="24"/>
        </w:rPr>
        <w:t xml:space="preserve">ating departments and schools. </w:t>
      </w:r>
    </w:p>
    <w:p w:rsidR="0041528E" w:rsidRPr="00312317" w:rsidRDefault="0041528E" w:rsidP="0041528E">
      <w:pPr>
        <w:rPr>
          <w:b/>
          <w:sz w:val="24"/>
          <w:szCs w:val="24"/>
        </w:rPr>
      </w:pPr>
      <w:r w:rsidRPr="00312317">
        <w:rPr>
          <w:b/>
          <w:sz w:val="24"/>
          <w:szCs w:val="24"/>
        </w:rPr>
        <w:t xml:space="preserve">Evidence Considered </w:t>
      </w:r>
      <w:r w:rsidR="00015487" w:rsidRPr="00312317">
        <w:rPr>
          <w:b/>
          <w:sz w:val="24"/>
          <w:szCs w:val="24"/>
        </w:rPr>
        <w:t xml:space="preserve">by the PTC </w:t>
      </w:r>
    </w:p>
    <w:p w:rsidR="0041528E" w:rsidRPr="00525E92" w:rsidRDefault="0041528E" w:rsidP="002D3D9B">
      <w:pPr>
        <w:rPr>
          <w:sz w:val="24"/>
          <w:szCs w:val="24"/>
        </w:rPr>
      </w:pPr>
      <w:r w:rsidRPr="00312317">
        <w:rPr>
          <w:sz w:val="24"/>
          <w:szCs w:val="24"/>
        </w:rPr>
        <w:t>The evidence conside</w:t>
      </w:r>
      <w:r w:rsidR="00015487" w:rsidRPr="00312317">
        <w:rPr>
          <w:sz w:val="24"/>
          <w:szCs w:val="24"/>
        </w:rPr>
        <w:t xml:space="preserve">red </w:t>
      </w:r>
      <w:r w:rsidR="00213EF5" w:rsidRPr="00312317">
        <w:rPr>
          <w:sz w:val="24"/>
          <w:szCs w:val="24"/>
        </w:rPr>
        <w:t>by the PTC</w:t>
      </w:r>
      <w:r w:rsidR="007F7613" w:rsidRPr="00312317">
        <w:rPr>
          <w:sz w:val="24"/>
          <w:szCs w:val="24"/>
        </w:rPr>
        <w:t xml:space="preserve"> </w:t>
      </w:r>
      <w:r w:rsidRPr="00312317">
        <w:rPr>
          <w:sz w:val="24"/>
          <w:szCs w:val="24"/>
        </w:rPr>
        <w:t>includes</w:t>
      </w:r>
      <w:r w:rsidR="00213EF5" w:rsidRPr="00312317">
        <w:rPr>
          <w:sz w:val="24"/>
          <w:szCs w:val="24"/>
        </w:rPr>
        <w:t xml:space="preserve"> supporting statements, referee letters</w:t>
      </w:r>
      <w:r w:rsidR="00C47407">
        <w:rPr>
          <w:sz w:val="24"/>
          <w:szCs w:val="24"/>
        </w:rPr>
        <w:t>,</w:t>
      </w:r>
      <w:r w:rsidR="00213EF5" w:rsidRPr="00312317">
        <w:rPr>
          <w:sz w:val="24"/>
          <w:szCs w:val="24"/>
        </w:rPr>
        <w:t xml:space="preserve"> and the personal testimony of witnesses</w:t>
      </w:r>
      <w:r w:rsidRPr="00312317">
        <w:rPr>
          <w:sz w:val="24"/>
          <w:szCs w:val="24"/>
        </w:rPr>
        <w:t>:</w:t>
      </w:r>
      <w:r w:rsidRPr="00525E92">
        <w:rPr>
          <w:sz w:val="24"/>
          <w:szCs w:val="24"/>
        </w:rPr>
        <w:t xml:space="preserve"> </w:t>
      </w:r>
    </w:p>
    <w:p w:rsidR="0041528E" w:rsidRPr="00EC233B" w:rsidRDefault="0041528E" w:rsidP="0041528E">
      <w:pPr>
        <w:rPr>
          <w:b/>
          <w:i/>
          <w:sz w:val="24"/>
          <w:szCs w:val="24"/>
        </w:rPr>
      </w:pPr>
      <w:r w:rsidRPr="00EC233B">
        <w:rPr>
          <w:b/>
          <w:i/>
          <w:sz w:val="24"/>
          <w:szCs w:val="24"/>
        </w:rPr>
        <w:t xml:space="preserve">Supporting Statements </w:t>
      </w:r>
      <w:r w:rsidR="00FF26AA">
        <w:rPr>
          <w:b/>
          <w:i/>
          <w:sz w:val="24"/>
          <w:szCs w:val="24"/>
        </w:rPr>
        <w:t>and Materials</w:t>
      </w:r>
    </w:p>
    <w:p w:rsidR="00DC7619" w:rsidRPr="00052293" w:rsidRDefault="00811167" w:rsidP="0041528E">
      <w:pPr>
        <w:rPr>
          <w:sz w:val="24"/>
          <w:szCs w:val="24"/>
        </w:rPr>
      </w:pPr>
      <w:r>
        <w:rPr>
          <w:sz w:val="24"/>
          <w:szCs w:val="24"/>
        </w:rPr>
        <w:t xml:space="preserve">The supporting statements </w:t>
      </w:r>
      <w:r w:rsidR="00C87E08">
        <w:rPr>
          <w:sz w:val="24"/>
          <w:szCs w:val="24"/>
        </w:rPr>
        <w:t>are described in</w:t>
      </w:r>
      <w:r>
        <w:rPr>
          <w:sz w:val="24"/>
          <w:szCs w:val="24"/>
        </w:rPr>
        <w:t xml:space="preserve"> the </w:t>
      </w:r>
      <w:r w:rsidRPr="00525E92">
        <w:rPr>
          <w:sz w:val="24"/>
          <w:szCs w:val="24"/>
        </w:rPr>
        <w:t>Provost’s Guidelines, “Principles and Customs Governing University-Wide Tenure Review</w:t>
      </w:r>
      <w:r w:rsidR="00294485">
        <w:rPr>
          <w:sz w:val="24"/>
          <w:szCs w:val="24"/>
        </w:rPr>
        <w:t>s</w:t>
      </w:r>
      <w:r w:rsidR="00C87E08">
        <w:rPr>
          <w:sz w:val="24"/>
          <w:szCs w:val="24"/>
        </w:rPr>
        <w:t>.</w:t>
      </w:r>
      <w:r w:rsidRPr="00525E92">
        <w:rPr>
          <w:sz w:val="24"/>
          <w:szCs w:val="24"/>
        </w:rPr>
        <w:t>”</w:t>
      </w:r>
      <w:r w:rsidR="00C87E08">
        <w:rPr>
          <w:sz w:val="24"/>
          <w:szCs w:val="24"/>
        </w:rPr>
        <w:t xml:space="preserve"> An abbreviated description is </w:t>
      </w:r>
      <w:r>
        <w:rPr>
          <w:sz w:val="24"/>
          <w:szCs w:val="24"/>
        </w:rPr>
        <w:t>re</w:t>
      </w:r>
      <w:r w:rsidR="00C87E08">
        <w:rPr>
          <w:sz w:val="24"/>
          <w:szCs w:val="24"/>
        </w:rPr>
        <w:t>produced below, modified to</w:t>
      </w:r>
      <w:r w:rsidR="00661946">
        <w:rPr>
          <w:sz w:val="24"/>
          <w:szCs w:val="24"/>
        </w:rPr>
        <w:t xml:space="preserve"> highlight the department’s role in preparing the supporting statements and to include specific practices in the Arts and Sciences</w:t>
      </w:r>
      <w:r>
        <w:rPr>
          <w:sz w:val="24"/>
          <w:szCs w:val="24"/>
        </w:rPr>
        <w:t>.</w:t>
      </w:r>
    </w:p>
    <w:p w:rsidR="006401EB" w:rsidRDefault="006401EB" w:rsidP="0041528E">
      <w:pPr>
        <w:rPr>
          <w:i/>
          <w:sz w:val="24"/>
          <w:szCs w:val="24"/>
        </w:rPr>
      </w:pPr>
    </w:p>
    <w:p w:rsidR="0041528E" w:rsidRPr="00525E92" w:rsidRDefault="0041528E" w:rsidP="0041528E">
      <w:pPr>
        <w:rPr>
          <w:i/>
          <w:sz w:val="24"/>
          <w:szCs w:val="24"/>
        </w:rPr>
      </w:pPr>
      <w:r w:rsidRPr="00525E92">
        <w:rPr>
          <w:i/>
          <w:sz w:val="24"/>
          <w:szCs w:val="24"/>
        </w:rPr>
        <w:lastRenderedPageBreak/>
        <w:t>The Case Statement</w:t>
      </w:r>
    </w:p>
    <w:p w:rsidR="0041528E" w:rsidRPr="00525E92" w:rsidRDefault="0041528E" w:rsidP="0041528E">
      <w:pPr>
        <w:rPr>
          <w:sz w:val="24"/>
          <w:szCs w:val="24"/>
        </w:rPr>
      </w:pPr>
      <w:r w:rsidRPr="00525E92">
        <w:rPr>
          <w:sz w:val="24"/>
          <w:szCs w:val="24"/>
        </w:rPr>
        <w:t xml:space="preserve">The nominating department or school prepares a case statement containing </w:t>
      </w:r>
      <w:r w:rsidR="000971F3">
        <w:rPr>
          <w:sz w:val="24"/>
          <w:szCs w:val="24"/>
        </w:rPr>
        <w:t>the following</w:t>
      </w:r>
      <w:r w:rsidR="000971F3" w:rsidRPr="00525E92">
        <w:rPr>
          <w:sz w:val="24"/>
          <w:szCs w:val="24"/>
        </w:rPr>
        <w:t xml:space="preserve"> </w:t>
      </w:r>
      <w:r w:rsidRPr="00525E92">
        <w:rPr>
          <w:sz w:val="24"/>
          <w:szCs w:val="24"/>
        </w:rPr>
        <w:t>written components:</w:t>
      </w:r>
    </w:p>
    <w:p w:rsidR="004B6481" w:rsidRDefault="00AA51EE" w:rsidP="004B6481">
      <w:pPr>
        <w:rPr>
          <w:sz w:val="24"/>
          <w:szCs w:val="24"/>
        </w:rPr>
      </w:pPr>
      <w:r>
        <w:rPr>
          <w:sz w:val="24"/>
          <w:szCs w:val="24"/>
        </w:rPr>
        <w:t xml:space="preserve">     1</w:t>
      </w:r>
      <w:r w:rsidR="0041528E" w:rsidRPr="00525E92">
        <w:rPr>
          <w:sz w:val="24"/>
          <w:szCs w:val="24"/>
        </w:rPr>
        <w:t xml:space="preserve">)  </w:t>
      </w:r>
      <w:r w:rsidR="0041528E" w:rsidRPr="00312317">
        <w:rPr>
          <w:sz w:val="24"/>
          <w:szCs w:val="24"/>
        </w:rPr>
        <w:t xml:space="preserve">An Analysis of the Department or School and Its Objectives </w:t>
      </w:r>
      <w:r w:rsidR="000971F3" w:rsidRPr="00312317">
        <w:rPr>
          <w:sz w:val="24"/>
          <w:szCs w:val="24"/>
        </w:rPr>
        <w:t xml:space="preserve">establishes the importance of the proposed appointment for the nominating unit, </w:t>
      </w:r>
      <w:r w:rsidR="0041528E" w:rsidRPr="00312317">
        <w:rPr>
          <w:sz w:val="24"/>
          <w:szCs w:val="24"/>
        </w:rPr>
        <w:t xml:space="preserve">discusses the current state of the nominating department or school and its future direction, and describes the needs the proposed appointment is expected to fill.    </w:t>
      </w:r>
    </w:p>
    <w:p w:rsidR="00D67B49" w:rsidRDefault="0073727E" w:rsidP="004B6481">
      <w:pPr>
        <w:rPr>
          <w:sz w:val="24"/>
          <w:szCs w:val="24"/>
        </w:rPr>
      </w:pPr>
      <w:r>
        <w:rPr>
          <w:sz w:val="24"/>
          <w:szCs w:val="24"/>
        </w:rPr>
        <w:t xml:space="preserve">     </w:t>
      </w:r>
      <w:r w:rsidR="006146B2">
        <w:rPr>
          <w:sz w:val="24"/>
          <w:szCs w:val="24"/>
        </w:rPr>
        <w:t>2</w:t>
      </w:r>
      <w:r w:rsidR="0041528E" w:rsidRPr="00312317">
        <w:rPr>
          <w:sz w:val="24"/>
          <w:szCs w:val="24"/>
        </w:rPr>
        <w:t xml:space="preserve">)  </w:t>
      </w:r>
      <w:r w:rsidR="0030429B" w:rsidRPr="00312317">
        <w:rPr>
          <w:sz w:val="24"/>
          <w:szCs w:val="24"/>
        </w:rPr>
        <w:t>Depending on whether the candidate is an external or</w:t>
      </w:r>
      <w:r w:rsidR="00C47407">
        <w:rPr>
          <w:sz w:val="24"/>
          <w:szCs w:val="24"/>
        </w:rPr>
        <w:t xml:space="preserve"> internal promotion to tenure, t</w:t>
      </w:r>
      <w:r w:rsidR="0030429B" w:rsidRPr="00312317">
        <w:rPr>
          <w:sz w:val="24"/>
          <w:szCs w:val="24"/>
        </w:rPr>
        <w:t>he Report on the S</w:t>
      </w:r>
      <w:r w:rsidR="00C47407">
        <w:rPr>
          <w:sz w:val="24"/>
          <w:szCs w:val="24"/>
        </w:rPr>
        <w:t xml:space="preserve">earch and Selection Process </w:t>
      </w:r>
      <w:r w:rsidR="00A907AE">
        <w:rPr>
          <w:sz w:val="24"/>
          <w:szCs w:val="24"/>
        </w:rPr>
        <w:t>and/</w:t>
      </w:r>
      <w:r w:rsidR="00C47407">
        <w:rPr>
          <w:sz w:val="24"/>
          <w:szCs w:val="24"/>
        </w:rPr>
        <w:t>or t</w:t>
      </w:r>
      <w:r w:rsidR="0030429B" w:rsidRPr="00312317">
        <w:rPr>
          <w:sz w:val="24"/>
          <w:szCs w:val="24"/>
        </w:rPr>
        <w:t xml:space="preserve">he Summary of the Department Review Process is included. For external promotions to tenure, </w:t>
      </w:r>
      <w:r w:rsidR="00C47407">
        <w:rPr>
          <w:sz w:val="24"/>
          <w:szCs w:val="24"/>
        </w:rPr>
        <w:t>t</w:t>
      </w:r>
      <w:r w:rsidR="0041528E" w:rsidRPr="00312317">
        <w:rPr>
          <w:sz w:val="24"/>
          <w:szCs w:val="24"/>
        </w:rPr>
        <w:t xml:space="preserve">he Report on the Search and Selection Process </w:t>
      </w:r>
      <w:r w:rsidR="00320FD2" w:rsidRPr="00312317">
        <w:rPr>
          <w:sz w:val="24"/>
          <w:szCs w:val="24"/>
        </w:rPr>
        <w:t xml:space="preserve">describes </w:t>
      </w:r>
      <w:r w:rsidR="00294485" w:rsidRPr="00312317">
        <w:rPr>
          <w:sz w:val="24"/>
          <w:szCs w:val="24"/>
        </w:rPr>
        <w:t xml:space="preserve">how the nominee was chosen and reports on the formal vote by which the nomination was made, including the vote of the counterpart department at Barnard College. It lists the search committee members, describes the materials used to evaluate the nominee’s </w:t>
      </w:r>
      <w:r w:rsidR="0030429B" w:rsidRPr="00312317">
        <w:rPr>
          <w:sz w:val="24"/>
          <w:szCs w:val="24"/>
        </w:rPr>
        <w:t>scholarly achievements for future growth and his or her teaching abilities, and summarizes the department’s deliberations and reasons for its vote. Fo</w:t>
      </w:r>
      <w:r w:rsidR="00AA51EE">
        <w:rPr>
          <w:sz w:val="24"/>
          <w:szCs w:val="24"/>
        </w:rPr>
        <w:t>r internal promotions to tenure</w:t>
      </w:r>
      <w:r w:rsidR="00C47407">
        <w:rPr>
          <w:sz w:val="24"/>
          <w:szCs w:val="24"/>
        </w:rPr>
        <w:t>, t</w:t>
      </w:r>
      <w:r w:rsidR="0030429B" w:rsidRPr="00312317">
        <w:rPr>
          <w:sz w:val="24"/>
          <w:szCs w:val="24"/>
        </w:rPr>
        <w:t>he</w:t>
      </w:r>
      <w:r w:rsidR="00B90D5D" w:rsidRPr="00312317">
        <w:rPr>
          <w:sz w:val="24"/>
          <w:szCs w:val="24"/>
        </w:rPr>
        <w:t xml:space="preserve"> </w:t>
      </w:r>
      <w:r w:rsidR="00C10AA0">
        <w:rPr>
          <w:sz w:val="24"/>
          <w:szCs w:val="24"/>
        </w:rPr>
        <w:t xml:space="preserve">Report on the </w:t>
      </w:r>
      <w:r w:rsidR="009370A4">
        <w:rPr>
          <w:sz w:val="24"/>
          <w:szCs w:val="24"/>
        </w:rPr>
        <w:t xml:space="preserve">Search and Selection Process </w:t>
      </w:r>
      <w:r w:rsidR="009370A4" w:rsidRPr="00312317">
        <w:rPr>
          <w:sz w:val="24"/>
          <w:szCs w:val="24"/>
        </w:rPr>
        <w:t xml:space="preserve">describes how the nominee was chosen </w:t>
      </w:r>
      <w:r w:rsidR="009370A4">
        <w:rPr>
          <w:sz w:val="24"/>
          <w:szCs w:val="24"/>
        </w:rPr>
        <w:t xml:space="preserve">when hired and the </w:t>
      </w:r>
      <w:r w:rsidR="00B90D5D" w:rsidRPr="00312317">
        <w:rPr>
          <w:sz w:val="24"/>
          <w:szCs w:val="24"/>
        </w:rPr>
        <w:t>Summary of the Departmental Review</w:t>
      </w:r>
      <w:r w:rsidR="00D67B49" w:rsidRPr="00312317">
        <w:rPr>
          <w:sz w:val="24"/>
          <w:szCs w:val="24"/>
        </w:rPr>
        <w:t xml:space="preserve"> Process describes the</w:t>
      </w:r>
      <w:r w:rsidR="006E559A" w:rsidRPr="00312317">
        <w:rPr>
          <w:sz w:val="24"/>
          <w:szCs w:val="24"/>
        </w:rPr>
        <w:t xml:space="preserve"> methods by which the nominee was evaluated in the department</w:t>
      </w:r>
      <w:r w:rsidR="00E8227F" w:rsidRPr="00312317">
        <w:rPr>
          <w:sz w:val="24"/>
          <w:szCs w:val="24"/>
        </w:rPr>
        <w:t xml:space="preserve"> or school</w:t>
      </w:r>
      <w:r w:rsidR="00495CF6" w:rsidRPr="00312317">
        <w:rPr>
          <w:sz w:val="24"/>
          <w:szCs w:val="24"/>
        </w:rPr>
        <w:t>,</w:t>
      </w:r>
      <w:r w:rsidR="0041673F" w:rsidRPr="00312317">
        <w:rPr>
          <w:sz w:val="24"/>
          <w:szCs w:val="24"/>
        </w:rPr>
        <w:t xml:space="preserve"> and reports on the formal vote by which the nomination was made</w:t>
      </w:r>
      <w:r w:rsidR="00495CF6" w:rsidRPr="00312317">
        <w:rPr>
          <w:sz w:val="24"/>
          <w:szCs w:val="24"/>
        </w:rPr>
        <w:t>,</w:t>
      </w:r>
      <w:r w:rsidR="00294485" w:rsidRPr="00312317">
        <w:rPr>
          <w:sz w:val="24"/>
          <w:szCs w:val="24"/>
        </w:rPr>
        <w:t xml:space="preserve"> including the vote of the counterpart department at Barnard College</w:t>
      </w:r>
      <w:r w:rsidR="006E559A" w:rsidRPr="00312317">
        <w:rPr>
          <w:sz w:val="24"/>
          <w:szCs w:val="24"/>
        </w:rPr>
        <w:t>. It lists the</w:t>
      </w:r>
      <w:r w:rsidR="00B90D5D" w:rsidRPr="00312317">
        <w:rPr>
          <w:sz w:val="24"/>
          <w:szCs w:val="24"/>
        </w:rPr>
        <w:t xml:space="preserve"> review committee members</w:t>
      </w:r>
      <w:r w:rsidR="006E559A" w:rsidRPr="00312317">
        <w:rPr>
          <w:sz w:val="24"/>
          <w:szCs w:val="24"/>
        </w:rPr>
        <w:t>, describes the materials used to evaluate the nominee’s scholarly achievements for future growth and his or her teaching abilities</w:t>
      </w:r>
      <w:r w:rsidR="00B90D5D" w:rsidRPr="00312317">
        <w:rPr>
          <w:sz w:val="24"/>
          <w:szCs w:val="24"/>
        </w:rPr>
        <w:t>,</w:t>
      </w:r>
      <w:r w:rsidR="006E559A" w:rsidRPr="00312317">
        <w:rPr>
          <w:sz w:val="24"/>
          <w:szCs w:val="24"/>
        </w:rPr>
        <w:t xml:space="preserve"> and </w:t>
      </w:r>
      <w:r w:rsidR="00B90D5D" w:rsidRPr="00312317">
        <w:rPr>
          <w:sz w:val="24"/>
          <w:szCs w:val="24"/>
        </w:rPr>
        <w:t xml:space="preserve">summarizes </w:t>
      </w:r>
      <w:r w:rsidR="006E559A" w:rsidRPr="00312317">
        <w:rPr>
          <w:sz w:val="24"/>
          <w:szCs w:val="24"/>
        </w:rPr>
        <w:t>the dep</w:t>
      </w:r>
      <w:r w:rsidR="00B90D5D" w:rsidRPr="00312317">
        <w:rPr>
          <w:sz w:val="24"/>
          <w:szCs w:val="24"/>
        </w:rPr>
        <w:t>artment’s deliberations and reasons for its vote</w:t>
      </w:r>
      <w:r w:rsidR="006E559A" w:rsidRPr="00312317">
        <w:rPr>
          <w:sz w:val="24"/>
          <w:szCs w:val="24"/>
        </w:rPr>
        <w:t>.</w:t>
      </w:r>
    </w:p>
    <w:p w:rsidR="00A423CA" w:rsidRPr="0073727E" w:rsidRDefault="00AA51EE" w:rsidP="00AA51EE">
      <w:pPr>
        <w:rPr>
          <w:sz w:val="24"/>
          <w:szCs w:val="24"/>
        </w:rPr>
      </w:pPr>
      <w:r>
        <w:rPr>
          <w:sz w:val="24"/>
          <w:szCs w:val="24"/>
        </w:rPr>
        <w:t xml:space="preserve">     </w:t>
      </w:r>
      <w:proofErr w:type="gramStart"/>
      <w:r w:rsidR="006146B2">
        <w:rPr>
          <w:sz w:val="24"/>
          <w:szCs w:val="24"/>
        </w:rPr>
        <w:t>3</w:t>
      </w:r>
      <w:r w:rsidR="006146B2" w:rsidRPr="00AA51EE">
        <w:rPr>
          <w:sz w:val="24"/>
          <w:szCs w:val="24"/>
        </w:rPr>
        <w:t xml:space="preserve"> </w:t>
      </w:r>
      <w:r w:rsidR="0041528E" w:rsidRPr="00AA51EE">
        <w:rPr>
          <w:sz w:val="24"/>
          <w:szCs w:val="24"/>
        </w:rPr>
        <w:t>)</w:t>
      </w:r>
      <w:proofErr w:type="gramEnd"/>
      <w:r w:rsidR="0041528E" w:rsidRPr="00AA51EE">
        <w:rPr>
          <w:sz w:val="24"/>
          <w:szCs w:val="24"/>
        </w:rPr>
        <w:t xml:space="preserve">  The Statement on the Nominee's Qualifications </w:t>
      </w:r>
      <w:r w:rsidR="00A423CA" w:rsidRPr="0073727E">
        <w:rPr>
          <w:sz w:val="24"/>
          <w:szCs w:val="24"/>
        </w:rPr>
        <w:t xml:space="preserve">- evaluates the nominee's scholarly achievements and potential for future growth, documents his or her teaching abilities, and compares </w:t>
      </w:r>
      <w:r w:rsidR="0073727E">
        <w:rPr>
          <w:sz w:val="24"/>
          <w:szCs w:val="24"/>
        </w:rPr>
        <w:t xml:space="preserve">him or her </w:t>
      </w:r>
      <w:r w:rsidR="00A423CA" w:rsidRPr="0073727E">
        <w:rPr>
          <w:sz w:val="24"/>
          <w:szCs w:val="24"/>
        </w:rPr>
        <w:t>with the leading scholars in the field.  It also discusses how the nominee's qualifications as a scholar and teacher will fulfill the needs and further the objectives of the department or school described in the Analysis above.</w:t>
      </w:r>
    </w:p>
    <w:p w:rsidR="0041528E" w:rsidRPr="00525E92" w:rsidRDefault="009E4CF0" w:rsidP="0041528E">
      <w:pPr>
        <w:rPr>
          <w:sz w:val="24"/>
          <w:szCs w:val="24"/>
        </w:rPr>
      </w:pPr>
      <w:r w:rsidRPr="00AA51EE">
        <w:rPr>
          <w:sz w:val="24"/>
          <w:szCs w:val="24"/>
        </w:rPr>
        <w:t xml:space="preserve">This statement </w:t>
      </w:r>
      <w:r w:rsidR="00A423CA" w:rsidRPr="00AA51EE">
        <w:rPr>
          <w:sz w:val="24"/>
          <w:szCs w:val="24"/>
        </w:rPr>
        <w:t>include</w:t>
      </w:r>
      <w:r w:rsidR="00A423CA">
        <w:rPr>
          <w:sz w:val="24"/>
          <w:szCs w:val="24"/>
        </w:rPr>
        <w:t>s the following sections</w:t>
      </w:r>
      <w:r w:rsidRPr="00525E92">
        <w:rPr>
          <w:sz w:val="24"/>
          <w:szCs w:val="24"/>
        </w:rPr>
        <w:t>:</w:t>
      </w:r>
    </w:p>
    <w:p w:rsidR="00AA51EE" w:rsidRDefault="009E4CF0" w:rsidP="00AA51EE">
      <w:pPr>
        <w:pStyle w:val="ListParagraph"/>
        <w:numPr>
          <w:ilvl w:val="0"/>
          <w:numId w:val="5"/>
        </w:numPr>
        <w:rPr>
          <w:sz w:val="24"/>
          <w:szCs w:val="24"/>
        </w:rPr>
      </w:pPr>
      <w:r w:rsidRPr="00525E92">
        <w:rPr>
          <w:sz w:val="24"/>
          <w:szCs w:val="24"/>
        </w:rPr>
        <w:t>Research and scholarship - This section of the statement evaluates the principal publications, research, and other scholarly accomplishments of the candidate. It assesses his or her qualifications in comparison with othe</w:t>
      </w:r>
      <w:r w:rsidR="00E8227F">
        <w:rPr>
          <w:sz w:val="24"/>
          <w:szCs w:val="24"/>
        </w:rPr>
        <w:t xml:space="preserve">r leading scholars in the field and </w:t>
      </w:r>
      <w:r w:rsidR="00DE3D94" w:rsidRPr="00525E92">
        <w:rPr>
          <w:sz w:val="24"/>
          <w:szCs w:val="24"/>
        </w:rPr>
        <w:t>includes an analysis of the referee responses</w:t>
      </w:r>
      <w:r w:rsidRPr="00525E92">
        <w:rPr>
          <w:sz w:val="24"/>
          <w:szCs w:val="24"/>
        </w:rPr>
        <w:t>. Finally, it discusses the candidate</w:t>
      </w:r>
      <w:r w:rsidR="00876408" w:rsidRPr="00525E92">
        <w:rPr>
          <w:sz w:val="24"/>
          <w:szCs w:val="24"/>
        </w:rPr>
        <w:t>’</w:t>
      </w:r>
      <w:r w:rsidRPr="00525E92">
        <w:rPr>
          <w:sz w:val="24"/>
          <w:szCs w:val="24"/>
        </w:rPr>
        <w:t>s potential for future scholarly development.</w:t>
      </w:r>
    </w:p>
    <w:p w:rsidR="00AA51EE" w:rsidRDefault="00AA51EE" w:rsidP="00AA51EE">
      <w:pPr>
        <w:pStyle w:val="ListParagraph"/>
        <w:rPr>
          <w:sz w:val="24"/>
          <w:szCs w:val="24"/>
        </w:rPr>
      </w:pPr>
    </w:p>
    <w:p w:rsidR="00AA51EE" w:rsidRDefault="009E4CF0" w:rsidP="00AA51EE">
      <w:pPr>
        <w:pStyle w:val="ListParagraph"/>
        <w:numPr>
          <w:ilvl w:val="0"/>
          <w:numId w:val="5"/>
        </w:numPr>
        <w:rPr>
          <w:sz w:val="24"/>
          <w:szCs w:val="24"/>
        </w:rPr>
      </w:pPr>
      <w:r w:rsidRPr="00AA51EE">
        <w:rPr>
          <w:sz w:val="24"/>
          <w:szCs w:val="24"/>
        </w:rPr>
        <w:lastRenderedPageBreak/>
        <w:t>Teaching qualifications - This section describe</w:t>
      </w:r>
      <w:r w:rsidR="00A423CA" w:rsidRPr="00AA51EE">
        <w:rPr>
          <w:sz w:val="24"/>
          <w:szCs w:val="24"/>
        </w:rPr>
        <w:t>s</w:t>
      </w:r>
      <w:r w:rsidRPr="00AA51EE">
        <w:rPr>
          <w:sz w:val="24"/>
          <w:szCs w:val="24"/>
        </w:rPr>
        <w:t xml:space="preserve"> the nominee's contribution to the educatio</w:t>
      </w:r>
      <w:r w:rsidR="00E8227F" w:rsidRPr="00AA51EE">
        <w:rPr>
          <w:sz w:val="24"/>
          <w:szCs w:val="24"/>
        </w:rPr>
        <w:t xml:space="preserve">nal programs of the departments and </w:t>
      </w:r>
      <w:r w:rsidRPr="00AA51EE">
        <w:rPr>
          <w:sz w:val="24"/>
          <w:szCs w:val="24"/>
        </w:rPr>
        <w:t xml:space="preserve">schools in which he or she currently holds appointments, such as courses taught, students advised (both graduate and undergraduate), and, where appropriate, participation in curricular development. </w:t>
      </w:r>
      <w:r w:rsidR="0073727E">
        <w:rPr>
          <w:sz w:val="24"/>
          <w:szCs w:val="24"/>
        </w:rPr>
        <w:t>It</w:t>
      </w:r>
      <w:r w:rsidRPr="00AA51EE">
        <w:rPr>
          <w:sz w:val="24"/>
          <w:szCs w:val="24"/>
        </w:rPr>
        <w:t xml:space="preserve"> also discusses the nominee's qualities as a teacher and identifies the sources on which the assessment is based. </w:t>
      </w:r>
    </w:p>
    <w:p w:rsidR="00AA51EE" w:rsidRDefault="00AA51EE" w:rsidP="00AA51EE">
      <w:pPr>
        <w:pStyle w:val="ListParagraph"/>
        <w:rPr>
          <w:sz w:val="24"/>
          <w:szCs w:val="24"/>
        </w:rPr>
      </w:pPr>
    </w:p>
    <w:p w:rsidR="009E4CF0" w:rsidRPr="00AA51EE" w:rsidRDefault="009E4CF0" w:rsidP="00AA51EE">
      <w:pPr>
        <w:pStyle w:val="ListParagraph"/>
        <w:numPr>
          <w:ilvl w:val="0"/>
          <w:numId w:val="5"/>
        </w:numPr>
        <w:rPr>
          <w:sz w:val="24"/>
          <w:szCs w:val="24"/>
        </w:rPr>
      </w:pPr>
      <w:r w:rsidRPr="00AA51EE">
        <w:rPr>
          <w:sz w:val="24"/>
          <w:szCs w:val="24"/>
        </w:rPr>
        <w:t>University service - This section of the statement addresses the nominee's contribution to the University beyond teaching and scholarly activities and describes any future service expected of the nominee.</w:t>
      </w:r>
    </w:p>
    <w:p w:rsidR="009E4CF0" w:rsidRPr="00A423CA" w:rsidRDefault="009E4CF0" w:rsidP="009E4CF0">
      <w:pPr>
        <w:pStyle w:val="ListParagraph"/>
        <w:rPr>
          <w:sz w:val="24"/>
          <w:szCs w:val="24"/>
        </w:rPr>
      </w:pPr>
    </w:p>
    <w:p w:rsidR="009E4CF0" w:rsidRPr="00A423CA" w:rsidRDefault="009E4CF0" w:rsidP="009E4CF0">
      <w:pPr>
        <w:pStyle w:val="ListParagraph"/>
        <w:numPr>
          <w:ilvl w:val="0"/>
          <w:numId w:val="5"/>
        </w:numPr>
        <w:rPr>
          <w:sz w:val="24"/>
          <w:szCs w:val="24"/>
        </w:rPr>
      </w:pPr>
      <w:r w:rsidRPr="00A423CA">
        <w:rPr>
          <w:sz w:val="24"/>
          <w:szCs w:val="24"/>
        </w:rPr>
        <w:t xml:space="preserve">English proficiency - </w:t>
      </w:r>
      <w:r w:rsidR="007F7613" w:rsidRPr="00A423CA">
        <w:rPr>
          <w:sz w:val="24"/>
          <w:szCs w:val="24"/>
        </w:rPr>
        <w:t xml:space="preserve">If the nominee’s first language is not English, </w:t>
      </w:r>
      <w:r w:rsidR="0073727E">
        <w:rPr>
          <w:sz w:val="24"/>
          <w:szCs w:val="24"/>
        </w:rPr>
        <w:t>this section</w:t>
      </w:r>
      <w:r w:rsidR="007F7613" w:rsidRPr="00A423CA">
        <w:rPr>
          <w:sz w:val="24"/>
          <w:szCs w:val="24"/>
        </w:rPr>
        <w:t xml:space="preserve"> must describe the nominee’s capacity for lecturing and discussion in English. </w:t>
      </w:r>
    </w:p>
    <w:p w:rsidR="0041528E" w:rsidRPr="00AA51EE" w:rsidRDefault="0041528E" w:rsidP="0041528E">
      <w:pPr>
        <w:rPr>
          <w:sz w:val="24"/>
          <w:szCs w:val="24"/>
        </w:rPr>
      </w:pPr>
      <w:r w:rsidRPr="00AA51EE">
        <w:rPr>
          <w:sz w:val="24"/>
          <w:szCs w:val="24"/>
        </w:rPr>
        <w:t xml:space="preserve">These statements provide the core of the department’s or school’s case for the tenured appointment. They are accompanied by the following </w:t>
      </w:r>
      <w:r w:rsidR="005F3B23" w:rsidRPr="00AA51EE">
        <w:rPr>
          <w:sz w:val="24"/>
          <w:szCs w:val="24"/>
        </w:rPr>
        <w:t>supporting statements and materials</w:t>
      </w:r>
      <w:r w:rsidRPr="00AA51EE">
        <w:rPr>
          <w:sz w:val="24"/>
          <w:szCs w:val="24"/>
        </w:rPr>
        <w:t>:</w:t>
      </w:r>
    </w:p>
    <w:p w:rsidR="00A374E4" w:rsidRPr="00AA51EE" w:rsidRDefault="00A374E4" w:rsidP="00A374E4">
      <w:pPr>
        <w:pStyle w:val="ListParagraph"/>
        <w:numPr>
          <w:ilvl w:val="0"/>
          <w:numId w:val="4"/>
        </w:numPr>
        <w:rPr>
          <w:sz w:val="24"/>
          <w:szCs w:val="24"/>
        </w:rPr>
      </w:pPr>
      <w:r w:rsidRPr="00AA51EE">
        <w:rPr>
          <w:sz w:val="24"/>
          <w:szCs w:val="24"/>
        </w:rPr>
        <w:t xml:space="preserve">A brief statement from the nominee </w:t>
      </w:r>
      <w:r w:rsidR="00AC7D08" w:rsidRPr="00AA51EE">
        <w:rPr>
          <w:sz w:val="24"/>
          <w:szCs w:val="24"/>
        </w:rPr>
        <w:t xml:space="preserve">of no more than 5-10 pages </w:t>
      </w:r>
      <w:r w:rsidRPr="00AA51EE">
        <w:rPr>
          <w:sz w:val="24"/>
          <w:szCs w:val="24"/>
        </w:rPr>
        <w:t xml:space="preserve">that discusses his or her current research and teaching and plans for future </w:t>
      </w:r>
      <w:r w:rsidR="005F3B23" w:rsidRPr="00AA51EE">
        <w:rPr>
          <w:sz w:val="24"/>
          <w:szCs w:val="24"/>
        </w:rPr>
        <w:t>projects.</w:t>
      </w:r>
    </w:p>
    <w:p w:rsidR="0073727E" w:rsidRDefault="0073727E">
      <w:pPr>
        <w:pStyle w:val="ListParagraph"/>
        <w:rPr>
          <w:sz w:val="24"/>
          <w:szCs w:val="24"/>
        </w:rPr>
      </w:pPr>
    </w:p>
    <w:p w:rsidR="00A423CA" w:rsidRPr="00AA51EE" w:rsidRDefault="00A423CA" w:rsidP="00A423CA">
      <w:pPr>
        <w:pStyle w:val="ListParagraph"/>
        <w:numPr>
          <w:ilvl w:val="0"/>
          <w:numId w:val="4"/>
        </w:numPr>
        <w:rPr>
          <w:sz w:val="24"/>
          <w:szCs w:val="24"/>
        </w:rPr>
      </w:pPr>
      <w:proofErr w:type="gramStart"/>
      <w:r w:rsidRPr="00AA51EE">
        <w:rPr>
          <w:sz w:val="24"/>
          <w:szCs w:val="24"/>
        </w:rPr>
        <w:t>A current</w:t>
      </w:r>
      <w:proofErr w:type="gramEnd"/>
      <w:r w:rsidR="002C6F58">
        <w:rPr>
          <w:sz w:val="24"/>
          <w:szCs w:val="24"/>
        </w:rPr>
        <w:t>,</w:t>
      </w:r>
      <w:r w:rsidRPr="00AA51EE">
        <w:rPr>
          <w:sz w:val="24"/>
          <w:szCs w:val="24"/>
        </w:rPr>
        <w:t xml:space="preserve"> dated curriculum vitae prepared according to the specifications in the Provost’s Guidelines.</w:t>
      </w:r>
    </w:p>
    <w:p w:rsidR="005F3B23" w:rsidRPr="00AA51EE" w:rsidRDefault="005F3B23" w:rsidP="005F3B23">
      <w:pPr>
        <w:pStyle w:val="ListParagraph"/>
        <w:rPr>
          <w:sz w:val="24"/>
          <w:szCs w:val="24"/>
        </w:rPr>
      </w:pPr>
    </w:p>
    <w:p w:rsidR="005F3B23" w:rsidRPr="00AA51EE" w:rsidRDefault="005F3B23" w:rsidP="005F3B23">
      <w:pPr>
        <w:pStyle w:val="ListParagraph"/>
        <w:numPr>
          <w:ilvl w:val="0"/>
          <w:numId w:val="4"/>
        </w:numPr>
        <w:rPr>
          <w:sz w:val="24"/>
          <w:szCs w:val="24"/>
        </w:rPr>
      </w:pPr>
      <w:r w:rsidRPr="00AA51EE">
        <w:rPr>
          <w:sz w:val="24"/>
          <w:szCs w:val="24"/>
        </w:rPr>
        <w:t xml:space="preserve">A copy of the department’s or school’s </w:t>
      </w:r>
      <w:r w:rsidR="002C6F58" w:rsidRPr="00AA51EE">
        <w:rPr>
          <w:sz w:val="24"/>
          <w:szCs w:val="24"/>
        </w:rPr>
        <w:t xml:space="preserve">Report on the Search and Selection Process </w:t>
      </w:r>
      <w:r w:rsidR="00A907AE">
        <w:rPr>
          <w:sz w:val="24"/>
          <w:szCs w:val="24"/>
        </w:rPr>
        <w:t>and/</w:t>
      </w:r>
      <w:r w:rsidR="002C6F58" w:rsidRPr="00AA51EE">
        <w:rPr>
          <w:sz w:val="24"/>
          <w:szCs w:val="24"/>
        </w:rPr>
        <w:t>or Summary of the Department Review Process</w:t>
      </w:r>
      <w:r w:rsidRPr="00AA51EE">
        <w:rPr>
          <w:sz w:val="24"/>
          <w:szCs w:val="24"/>
        </w:rPr>
        <w:t>.</w:t>
      </w:r>
    </w:p>
    <w:p w:rsidR="005F3B23" w:rsidRPr="00AA51EE" w:rsidRDefault="005F3B23" w:rsidP="005F3B23">
      <w:pPr>
        <w:pStyle w:val="ListParagraph"/>
        <w:rPr>
          <w:sz w:val="24"/>
          <w:szCs w:val="24"/>
        </w:rPr>
      </w:pPr>
    </w:p>
    <w:p w:rsidR="005F3B23" w:rsidRPr="00AA51EE" w:rsidRDefault="005F3B23" w:rsidP="005F3B23">
      <w:pPr>
        <w:pStyle w:val="ListParagraph"/>
        <w:numPr>
          <w:ilvl w:val="0"/>
          <w:numId w:val="4"/>
        </w:numPr>
        <w:rPr>
          <w:sz w:val="24"/>
          <w:szCs w:val="24"/>
        </w:rPr>
      </w:pPr>
      <w:r w:rsidRPr="00AA51EE">
        <w:rPr>
          <w:sz w:val="24"/>
          <w:szCs w:val="24"/>
        </w:rPr>
        <w:t>The vote of the counterpart department at Barnard College and a statement of its assessment of the candidate's qualifications.</w:t>
      </w:r>
    </w:p>
    <w:p w:rsidR="005F3B23" w:rsidRPr="00AA51EE" w:rsidRDefault="005F3B23" w:rsidP="005F3B23">
      <w:pPr>
        <w:pStyle w:val="ListParagraph"/>
        <w:rPr>
          <w:sz w:val="24"/>
          <w:szCs w:val="24"/>
        </w:rPr>
      </w:pPr>
    </w:p>
    <w:p w:rsidR="005F3B23" w:rsidRPr="002C6F58" w:rsidRDefault="008B550B" w:rsidP="005F3B23">
      <w:pPr>
        <w:pStyle w:val="ListParagraph"/>
        <w:numPr>
          <w:ilvl w:val="0"/>
          <w:numId w:val="4"/>
        </w:numPr>
        <w:rPr>
          <w:sz w:val="24"/>
          <w:szCs w:val="24"/>
        </w:rPr>
      </w:pPr>
      <w:r w:rsidRPr="002C6F58">
        <w:rPr>
          <w:sz w:val="24"/>
          <w:szCs w:val="24"/>
        </w:rPr>
        <w:t>Evidence of the nominee's prior contributions to the educational programming of the department or school (or planned in the case of external hires), such as course syllabi.</w:t>
      </w:r>
    </w:p>
    <w:p w:rsidR="00E8227F" w:rsidRPr="00AA51EE" w:rsidRDefault="00E8227F" w:rsidP="00E8227F">
      <w:pPr>
        <w:pStyle w:val="ListParagraph"/>
        <w:rPr>
          <w:sz w:val="24"/>
          <w:szCs w:val="24"/>
        </w:rPr>
      </w:pPr>
    </w:p>
    <w:p w:rsidR="005F3B23" w:rsidRPr="00AA51EE" w:rsidRDefault="005F3B23" w:rsidP="005F3B23">
      <w:pPr>
        <w:pStyle w:val="ListParagraph"/>
        <w:numPr>
          <w:ilvl w:val="0"/>
          <w:numId w:val="4"/>
        </w:numPr>
        <w:rPr>
          <w:sz w:val="24"/>
          <w:szCs w:val="24"/>
        </w:rPr>
      </w:pPr>
      <w:r w:rsidRPr="00AA51EE">
        <w:rPr>
          <w:sz w:val="24"/>
          <w:szCs w:val="24"/>
        </w:rPr>
        <w:t>Evidence of the nominee's abilities as a teacher, such as course evaluations, results of classroom observations, information on the candidate's former students</w:t>
      </w:r>
      <w:r w:rsidR="00C47407">
        <w:rPr>
          <w:sz w:val="24"/>
          <w:szCs w:val="24"/>
        </w:rPr>
        <w:t>,</w:t>
      </w:r>
      <w:r w:rsidRPr="00AA51EE">
        <w:rPr>
          <w:sz w:val="24"/>
          <w:szCs w:val="24"/>
        </w:rPr>
        <w:t xml:space="preserve"> and</w:t>
      </w:r>
      <w:r w:rsidR="002C6F58">
        <w:rPr>
          <w:sz w:val="24"/>
          <w:szCs w:val="24"/>
        </w:rPr>
        <w:t>/or</w:t>
      </w:r>
      <w:r w:rsidRPr="00AA51EE">
        <w:rPr>
          <w:sz w:val="24"/>
          <w:szCs w:val="24"/>
        </w:rPr>
        <w:t xml:space="preserve"> teaching awards.</w:t>
      </w:r>
    </w:p>
    <w:p w:rsidR="005F3B23" w:rsidRPr="00AA51EE" w:rsidRDefault="005F3B23" w:rsidP="005F3B23">
      <w:pPr>
        <w:pStyle w:val="ListParagraph"/>
        <w:rPr>
          <w:sz w:val="24"/>
          <w:szCs w:val="24"/>
        </w:rPr>
      </w:pPr>
    </w:p>
    <w:p w:rsidR="008F0ED3" w:rsidRPr="00AA51EE" w:rsidRDefault="00E8227F" w:rsidP="005F3B23">
      <w:pPr>
        <w:pStyle w:val="ListParagraph"/>
        <w:numPr>
          <w:ilvl w:val="0"/>
          <w:numId w:val="4"/>
        </w:numPr>
        <w:rPr>
          <w:sz w:val="24"/>
          <w:szCs w:val="24"/>
        </w:rPr>
      </w:pPr>
      <w:r w:rsidRPr="00AA51EE">
        <w:rPr>
          <w:sz w:val="24"/>
          <w:szCs w:val="24"/>
        </w:rPr>
        <w:t>A</w:t>
      </w:r>
      <w:r w:rsidR="005F3B23" w:rsidRPr="00AA51EE">
        <w:rPr>
          <w:sz w:val="24"/>
          <w:szCs w:val="24"/>
        </w:rPr>
        <w:t xml:space="preserve"> </w:t>
      </w:r>
      <w:r w:rsidR="0041528E" w:rsidRPr="00AA51EE">
        <w:rPr>
          <w:sz w:val="24"/>
          <w:szCs w:val="24"/>
        </w:rPr>
        <w:t>repr</w:t>
      </w:r>
      <w:r w:rsidR="005F3B23" w:rsidRPr="00AA51EE">
        <w:rPr>
          <w:sz w:val="24"/>
          <w:szCs w:val="24"/>
        </w:rPr>
        <w:t>esentative set of the nominee's published and other written works, with a cover sheet listing the materials submitted.  The set should not be large</w:t>
      </w:r>
      <w:r w:rsidR="00C47407">
        <w:rPr>
          <w:sz w:val="24"/>
          <w:szCs w:val="24"/>
        </w:rPr>
        <w:t>,</w:t>
      </w:r>
      <w:r w:rsidR="005F3B23" w:rsidRPr="00AA51EE">
        <w:rPr>
          <w:sz w:val="24"/>
          <w:szCs w:val="24"/>
        </w:rPr>
        <w:t xml:space="preserve"> but should include a sufficient number </w:t>
      </w:r>
      <w:r w:rsidR="00C47407">
        <w:rPr>
          <w:sz w:val="24"/>
          <w:szCs w:val="24"/>
        </w:rPr>
        <w:t xml:space="preserve">of works </w:t>
      </w:r>
      <w:r w:rsidR="005F3B23" w:rsidRPr="00AA51EE">
        <w:rPr>
          <w:sz w:val="24"/>
          <w:szCs w:val="24"/>
        </w:rPr>
        <w:t xml:space="preserve">to be representative of the breadth and quality of the </w:t>
      </w:r>
      <w:r w:rsidR="002C6F58">
        <w:rPr>
          <w:sz w:val="24"/>
          <w:szCs w:val="24"/>
        </w:rPr>
        <w:lastRenderedPageBreak/>
        <w:t>nominee</w:t>
      </w:r>
      <w:r w:rsidR="005F3B23" w:rsidRPr="00AA51EE">
        <w:rPr>
          <w:sz w:val="24"/>
          <w:szCs w:val="24"/>
        </w:rPr>
        <w:t xml:space="preserve">'s scholarship.  It may include forthcoming publications and manuscripts, conference papers, and grant proposals that have a bearing on the nomination.  If any of the papers or publications were written in collaboration with others, those works in which the nominee was the principal author should be so indicated.  If important publications are in a language other than English, a brief synopsis in English of their content should be included.    </w:t>
      </w:r>
    </w:p>
    <w:p w:rsidR="005F3B23" w:rsidRPr="00AA51EE" w:rsidRDefault="005F3B23" w:rsidP="005F3B23">
      <w:pPr>
        <w:pStyle w:val="ListParagraph"/>
        <w:rPr>
          <w:sz w:val="24"/>
          <w:szCs w:val="24"/>
        </w:rPr>
      </w:pPr>
    </w:p>
    <w:p w:rsidR="008F0ED3" w:rsidRPr="00AA51EE" w:rsidRDefault="0041528E" w:rsidP="005F3B23">
      <w:pPr>
        <w:pStyle w:val="ListParagraph"/>
        <w:numPr>
          <w:ilvl w:val="0"/>
          <w:numId w:val="4"/>
        </w:numPr>
        <w:rPr>
          <w:sz w:val="24"/>
          <w:szCs w:val="24"/>
        </w:rPr>
      </w:pPr>
      <w:r w:rsidRPr="00AA51EE">
        <w:rPr>
          <w:sz w:val="24"/>
          <w:szCs w:val="24"/>
        </w:rPr>
        <w:t>Any additional information the nominating department or school wishes the PTC to consider</w:t>
      </w:r>
      <w:r w:rsidR="008B550B" w:rsidRPr="00AA51EE">
        <w:rPr>
          <w:sz w:val="24"/>
          <w:szCs w:val="24"/>
        </w:rPr>
        <w:t>, such as</w:t>
      </w:r>
      <w:r w:rsidR="0020142C" w:rsidRPr="00AA51EE">
        <w:rPr>
          <w:sz w:val="24"/>
          <w:szCs w:val="24"/>
        </w:rPr>
        <w:t xml:space="preserve"> reviews of publications.</w:t>
      </w:r>
    </w:p>
    <w:p w:rsidR="00A50A31" w:rsidRPr="00EC233B" w:rsidRDefault="00A50A31" w:rsidP="00984F86">
      <w:pPr>
        <w:rPr>
          <w:b/>
          <w:i/>
          <w:sz w:val="24"/>
          <w:szCs w:val="24"/>
        </w:rPr>
      </w:pPr>
      <w:r w:rsidRPr="00EC233B">
        <w:rPr>
          <w:b/>
          <w:i/>
          <w:sz w:val="24"/>
          <w:szCs w:val="24"/>
        </w:rPr>
        <w:t>Consultants</w:t>
      </w:r>
    </w:p>
    <w:p w:rsidR="006C2435" w:rsidRDefault="00271FD5" w:rsidP="00984F86">
      <w:pPr>
        <w:rPr>
          <w:sz w:val="24"/>
          <w:szCs w:val="24"/>
        </w:rPr>
      </w:pPr>
      <w:r w:rsidRPr="00AA51EE">
        <w:rPr>
          <w:sz w:val="24"/>
          <w:szCs w:val="24"/>
        </w:rPr>
        <w:t>For each nomin</w:t>
      </w:r>
      <w:r w:rsidR="00313444" w:rsidRPr="00AA51EE">
        <w:rPr>
          <w:sz w:val="24"/>
          <w:szCs w:val="24"/>
        </w:rPr>
        <w:t>ee</w:t>
      </w:r>
      <w:r w:rsidRPr="00AA51EE">
        <w:rPr>
          <w:sz w:val="24"/>
          <w:szCs w:val="24"/>
        </w:rPr>
        <w:t xml:space="preserve">, </w:t>
      </w:r>
      <w:r w:rsidR="00313444" w:rsidRPr="00AA51EE">
        <w:rPr>
          <w:sz w:val="24"/>
          <w:szCs w:val="24"/>
        </w:rPr>
        <w:t>several</w:t>
      </w:r>
      <w:r w:rsidR="00DD6EBB" w:rsidRPr="00AA51EE">
        <w:rPr>
          <w:sz w:val="24"/>
          <w:szCs w:val="24"/>
        </w:rPr>
        <w:t xml:space="preserve"> scholars at other institutions who are familiar with the cand</w:t>
      </w:r>
      <w:r w:rsidR="002C6F58">
        <w:rPr>
          <w:sz w:val="24"/>
          <w:szCs w:val="24"/>
        </w:rPr>
        <w:t>idate's field of specialization</w:t>
      </w:r>
      <w:r w:rsidR="00DD6EBB" w:rsidRPr="00AA51EE">
        <w:rPr>
          <w:sz w:val="24"/>
          <w:szCs w:val="24"/>
        </w:rPr>
        <w:t xml:space="preserve"> </w:t>
      </w:r>
      <w:r w:rsidR="00313444" w:rsidRPr="00AA51EE">
        <w:rPr>
          <w:sz w:val="24"/>
          <w:szCs w:val="24"/>
        </w:rPr>
        <w:t xml:space="preserve">are selected </w:t>
      </w:r>
      <w:r w:rsidR="00DD6EBB" w:rsidRPr="00AA51EE">
        <w:rPr>
          <w:sz w:val="24"/>
          <w:szCs w:val="24"/>
        </w:rPr>
        <w:t>so that</w:t>
      </w:r>
      <w:r w:rsidR="00313444" w:rsidRPr="00AA51EE">
        <w:rPr>
          <w:sz w:val="24"/>
          <w:szCs w:val="24"/>
        </w:rPr>
        <w:t xml:space="preserve"> the Executive Vice President may </w:t>
      </w:r>
      <w:r w:rsidRPr="00AA51EE">
        <w:rPr>
          <w:sz w:val="24"/>
          <w:szCs w:val="24"/>
        </w:rPr>
        <w:t>consult</w:t>
      </w:r>
      <w:r w:rsidR="00DD6EBB" w:rsidRPr="00AA51EE">
        <w:rPr>
          <w:sz w:val="24"/>
          <w:szCs w:val="24"/>
        </w:rPr>
        <w:t xml:space="preserve"> them </w:t>
      </w:r>
      <w:r w:rsidR="002C6F58" w:rsidRPr="00AA51EE">
        <w:rPr>
          <w:sz w:val="24"/>
          <w:szCs w:val="24"/>
        </w:rPr>
        <w:t xml:space="preserve">at any point </w:t>
      </w:r>
      <w:r w:rsidR="002C6F58">
        <w:rPr>
          <w:sz w:val="24"/>
          <w:szCs w:val="24"/>
        </w:rPr>
        <w:t xml:space="preserve">in the review process </w:t>
      </w:r>
      <w:r w:rsidR="00DD6EBB" w:rsidRPr="00AA51EE">
        <w:rPr>
          <w:sz w:val="24"/>
          <w:szCs w:val="24"/>
        </w:rPr>
        <w:t xml:space="preserve">if </w:t>
      </w:r>
      <w:r w:rsidR="00E8227F" w:rsidRPr="00AA51EE">
        <w:rPr>
          <w:sz w:val="24"/>
          <w:szCs w:val="24"/>
        </w:rPr>
        <w:t>he chooses</w:t>
      </w:r>
      <w:r w:rsidRPr="00AA51EE">
        <w:rPr>
          <w:sz w:val="24"/>
          <w:szCs w:val="24"/>
        </w:rPr>
        <w:t xml:space="preserve"> </w:t>
      </w:r>
      <w:r w:rsidR="009979FA" w:rsidRPr="00AA51EE">
        <w:rPr>
          <w:sz w:val="24"/>
          <w:szCs w:val="24"/>
        </w:rPr>
        <w:t>to do so</w:t>
      </w:r>
      <w:r w:rsidR="00313444" w:rsidRPr="00AA51EE">
        <w:rPr>
          <w:sz w:val="24"/>
          <w:szCs w:val="24"/>
        </w:rPr>
        <w:t xml:space="preserve">. For example, the consultant may be </w:t>
      </w:r>
      <w:r w:rsidR="00DD6EBB" w:rsidRPr="00AA51EE">
        <w:rPr>
          <w:sz w:val="24"/>
          <w:szCs w:val="24"/>
        </w:rPr>
        <w:t xml:space="preserve">asked for input on </w:t>
      </w:r>
      <w:r w:rsidRPr="00AA51EE">
        <w:rPr>
          <w:sz w:val="24"/>
          <w:szCs w:val="24"/>
        </w:rPr>
        <w:t>the proposed referee and comparison lists</w:t>
      </w:r>
      <w:r w:rsidR="00313444" w:rsidRPr="00AA51EE">
        <w:rPr>
          <w:sz w:val="24"/>
          <w:szCs w:val="24"/>
        </w:rPr>
        <w:t xml:space="preserve"> or</w:t>
      </w:r>
      <w:r w:rsidRPr="00AA51EE">
        <w:rPr>
          <w:sz w:val="24"/>
          <w:szCs w:val="24"/>
        </w:rPr>
        <w:t xml:space="preserve"> the candidate's curriculum vitae. </w:t>
      </w:r>
      <w:r w:rsidR="006C2435" w:rsidRPr="00AA51EE">
        <w:rPr>
          <w:sz w:val="24"/>
          <w:szCs w:val="24"/>
        </w:rPr>
        <w:t xml:space="preserve">These scholars are recommended by the department and may not </w:t>
      </w:r>
      <w:r w:rsidR="009979FA" w:rsidRPr="00AA51EE">
        <w:rPr>
          <w:sz w:val="24"/>
          <w:szCs w:val="24"/>
        </w:rPr>
        <w:t xml:space="preserve">include </w:t>
      </w:r>
      <w:r w:rsidR="00317FB3" w:rsidRPr="00AA51EE">
        <w:rPr>
          <w:sz w:val="24"/>
          <w:szCs w:val="24"/>
        </w:rPr>
        <w:t xml:space="preserve">anyone </w:t>
      </w:r>
      <w:r w:rsidR="006C2435" w:rsidRPr="00AA51EE">
        <w:rPr>
          <w:sz w:val="24"/>
          <w:szCs w:val="24"/>
        </w:rPr>
        <w:t>who has collaborated with the candidate</w:t>
      </w:r>
      <w:r w:rsidR="00E8227F" w:rsidRPr="00AA51EE">
        <w:rPr>
          <w:sz w:val="24"/>
          <w:szCs w:val="24"/>
        </w:rPr>
        <w:t xml:space="preserve">, </w:t>
      </w:r>
      <w:r w:rsidR="002C6F58">
        <w:rPr>
          <w:sz w:val="24"/>
          <w:szCs w:val="24"/>
        </w:rPr>
        <w:t xml:space="preserve">has </w:t>
      </w:r>
      <w:r w:rsidR="006C2435" w:rsidRPr="00AA51EE">
        <w:rPr>
          <w:sz w:val="24"/>
          <w:szCs w:val="24"/>
        </w:rPr>
        <w:t>served as a colleague at another institution</w:t>
      </w:r>
      <w:r w:rsidR="00361113">
        <w:rPr>
          <w:sz w:val="24"/>
          <w:szCs w:val="24"/>
        </w:rPr>
        <w:t>,</w:t>
      </w:r>
      <w:r w:rsidR="00E8227F" w:rsidRPr="00AA51EE">
        <w:rPr>
          <w:sz w:val="24"/>
          <w:szCs w:val="24"/>
        </w:rPr>
        <w:t xml:space="preserve"> or will write a letter of evaluation for the candidate’s tenure review</w:t>
      </w:r>
      <w:r w:rsidR="006C2435" w:rsidRPr="00AA51EE">
        <w:rPr>
          <w:sz w:val="24"/>
          <w:szCs w:val="24"/>
        </w:rPr>
        <w:t xml:space="preserve">. Similarly excluded from consideration are individuals who participated in the candidate's doctoral and postdoctoral </w:t>
      </w:r>
      <w:proofErr w:type="gramStart"/>
      <w:r w:rsidR="006C2435" w:rsidRPr="00AA51EE">
        <w:rPr>
          <w:sz w:val="24"/>
          <w:szCs w:val="24"/>
        </w:rPr>
        <w:t>training.</w:t>
      </w:r>
      <w:proofErr w:type="gramEnd"/>
      <w:r w:rsidR="006C2435" w:rsidRPr="00AA51EE">
        <w:rPr>
          <w:sz w:val="24"/>
          <w:szCs w:val="24"/>
        </w:rPr>
        <w:t xml:space="preserve"> To avoid the possibility of a prior association, the </w:t>
      </w:r>
      <w:r w:rsidR="00DD6EBB" w:rsidRPr="00AA51EE">
        <w:rPr>
          <w:sz w:val="24"/>
          <w:szCs w:val="24"/>
        </w:rPr>
        <w:t xml:space="preserve">Executive Vice President </w:t>
      </w:r>
      <w:r w:rsidR="006C2435" w:rsidRPr="00AA51EE">
        <w:rPr>
          <w:sz w:val="24"/>
          <w:szCs w:val="24"/>
        </w:rPr>
        <w:t xml:space="preserve">normally does not </w:t>
      </w:r>
      <w:r w:rsidR="00DD6EBB" w:rsidRPr="00AA51EE">
        <w:rPr>
          <w:sz w:val="24"/>
          <w:szCs w:val="24"/>
        </w:rPr>
        <w:t>consult</w:t>
      </w:r>
      <w:r w:rsidR="006C2435" w:rsidRPr="00AA51EE">
        <w:rPr>
          <w:sz w:val="24"/>
          <w:szCs w:val="24"/>
        </w:rPr>
        <w:t xml:space="preserve"> scholars who were at the institutions at which the candidate was a doctoral student or a post</w:t>
      </w:r>
      <w:r w:rsidR="00DD6EBB" w:rsidRPr="00AA51EE">
        <w:rPr>
          <w:sz w:val="24"/>
          <w:szCs w:val="24"/>
        </w:rPr>
        <w:t>-</w:t>
      </w:r>
      <w:r w:rsidR="006C2435" w:rsidRPr="00AA51EE">
        <w:rPr>
          <w:sz w:val="24"/>
          <w:szCs w:val="24"/>
        </w:rPr>
        <w:t>doc.</w:t>
      </w:r>
    </w:p>
    <w:p w:rsidR="00984F86" w:rsidRPr="00EC233B" w:rsidRDefault="00984F86" w:rsidP="00984F86">
      <w:pPr>
        <w:rPr>
          <w:b/>
          <w:i/>
          <w:sz w:val="24"/>
          <w:szCs w:val="24"/>
        </w:rPr>
      </w:pPr>
      <w:r w:rsidRPr="00EC233B">
        <w:rPr>
          <w:b/>
          <w:i/>
          <w:sz w:val="24"/>
          <w:szCs w:val="24"/>
        </w:rPr>
        <w:t>Referee Letters</w:t>
      </w:r>
    </w:p>
    <w:p w:rsidR="00F5180B" w:rsidRPr="00AA51EE" w:rsidRDefault="00F5180B" w:rsidP="00F5180B">
      <w:pPr>
        <w:rPr>
          <w:sz w:val="24"/>
          <w:szCs w:val="24"/>
        </w:rPr>
      </w:pPr>
      <w:r w:rsidRPr="00AA51EE">
        <w:rPr>
          <w:sz w:val="24"/>
          <w:szCs w:val="24"/>
        </w:rPr>
        <w:t xml:space="preserve">Written evaluations of the proposed appointment by recognized authorities form a critical source of information for </w:t>
      </w:r>
      <w:r w:rsidR="00863739" w:rsidRPr="00AA51EE">
        <w:rPr>
          <w:sz w:val="24"/>
          <w:szCs w:val="24"/>
        </w:rPr>
        <w:t>the PTC</w:t>
      </w:r>
      <w:r w:rsidRPr="00AA51EE">
        <w:rPr>
          <w:sz w:val="24"/>
          <w:szCs w:val="24"/>
        </w:rPr>
        <w:t xml:space="preserve">.  Evaluations of candidates are solicited by the </w:t>
      </w:r>
      <w:r w:rsidR="00863739" w:rsidRPr="00AA51EE">
        <w:rPr>
          <w:sz w:val="24"/>
          <w:szCs w:val="24"/>
        </w:rPr>
        <w:t>Executive Vice President</w:t>
      </w:r>
      <w:r w:rsidRPr="00AA51EE">
        <w:rPr>
          <w:sz w:val="24"/>
          <w:szCs w:val="24"/>
        </w:rPr>
        <w:t xml:space="preserve">.  As part of its </w:t>
      </w:r>
      <w:r w:rsidR="002C6F58">
        <w:rPr>
          <w:sz w:val="24"/>
          <w:szCs w:val="24"/>
        </w:rPr>
        <w:t>review</w:t>
      </w:r>
      <w:r w:rsidR="00863739" w:rsidRPr="00AA51EE">
        <w:rPr>
          <w:sz w:val="24"/>
          <w:szCs w:val="24"/>
        </w:rPr>
        <w:t>, described below, the PTC</w:t>
      </w:r>
      <w:r w:rsidRPr="00AA51EE">
        <w:rPr>
          <w:sz w:val="24"/>
          <w:szCs w:val="24"/>
        </w:rPr>
        <w:t xml:space="preserve"> may request that the </w:t>
      </w:r>
      <w:r w:rsidR="00863739" w:rsidRPr="00AA51EE">
        <w:rPr>
          <w:sz w:val="24"/>
          <w:szCs w:val="24"/>
        </w:rPr>
        <w:t xml:space="preserve">Executive Vice President </w:t>
      </w:r>
      <w:r w:rsidRPr="00AA51EE">
        <w:rPr>
          <w:sz w:val="24"/>
          <w:szCs w:val="24"/>
        </w:rPr>
        <w:t>solicit further referee letters on its behalf.</w:t>
      </w:r>
    </w:p>
    <w:p w:rsidR="00FD4D69" w:rsidRPr="00AA51EE" w:rsidRDefault="00BA08E6" w:rsidP="00F5180B">
      <w:pPr>
        <w:rPr>
          <w:sz w:val="24"/>
          <w:szCs w:val="24"/>
        </w:rPr>
      </w:pPr>
      <w:r w:rsidRPr="00AA51EE">
        <w:rPr>
          <w:sz w:val="24"/>
          <w:szCs w:val="24"/>
        </w:rPr>
        <w:t>The Executive Vice President</w:t>
      </w:r>
      <w:r w:rsidR="00F5180B" w:rsidRPr="00AA51EE">
        <w:rPr>
          <w:sz w:val="24"/>
          <w:szCs w:val="24"/>
        </w:rPr>
        <w:t xml:space="preserve"> selects the scholars who will be asked for referee letters, taking into consideration suggestions received from the nominating department</w:t>
      </w:r>
      <w:r w:rsidR="00F2599F" w:rsidRPr="00AA51EE">
        <w:rPr>
          <w:sz w:val="24"/>
          <w:szCs w:val="24"/>
        </w:rPr>
        <w:t xml:space="preserve"> </w:t>
      </w:r>
      <w:r w:rsidR="00F5180B" w:rsidRPr="00AA51EE">
        <w:rPr>
          <w:sz w:val="24"/>
          <w:szCs w:val="24"/>
        </w:rPr>
        <w:t>or school</w:t>
      </w:r>
      <w:r w:rsidR="00317FB3" w:rsidRPr="00AA51EE">
        <w:rPr>
          <w:sz w:val="24"/>
          <w:szCs w:val="24"/>
        </w:rPr>
        <w:t>.</w:t>
      </w:r>
    </w:p>
    <w:p w:rsidR="00F5180B" w:rsidRPr="00AA51EE" w:rsidRDefault="00F5180B" w:rsidP="00F5180B">
      <w:pPr>
        <w:rPr>
          <w:sz w:val="24"/>
          <w:szCs w:val="24"/>
        </w:rPr>
      </w:pPr>
      <w:r w:rsidRPr="00AA51EE">
        <w:rPr>
          <w:sz w:val="24"/>
          <w:szCs w:val="24"/>
        </w:rPr>
        <w:t>While a dossier will typically contain 12-15 referee letters, the number of evaluations matters less than the scholars who provide them.  Referees should consist primarily of the leading figures in the nominee’s area of specialization</w:t>
      </w:r>
      <w:r w:rsidR="00361113">
        <w:rPr>
          <w:sz w:val="24"/>
          <w:szCs w:val="24"/>
        </w:rPr>
        <w:t>,</w:t>
      </w:r>
      <w:r w:rsidRPr="00AA51EE">
        <w:rPr>
          <w:sz w:val="24"/>
          <w:szCs w:val="24"/>
        </w:rPr>
        <w:t xml:space="preserve"> but may also be well-established scholars or professionals in related fields who can provide informed evaluations of his or her work.  They may include scholars from </w:t>
      </w:r>
      <w:r w:rsidR="00361113">
        <w:rPr>
          <w:sz w:val="24"/>
          <w:szCs w:val="24"/>
        </w:rPr>
        <w:t xml:space="preserve">institutions </w:t>
      </w:r>
      <w:r w:rsidRPr="00AA51EE">
        <w:rPr>
          <w:sz w:val="24"/>
          <w:szCs w:val="24"/>
        </w:rPr>
        <w:t>abroad as well as the United States</w:t>
      </w:r>
      <w:r w:rsidR="00361113">
        <w:rPr>
          <w:sz w:val="24"/>
          <w:szCs w:val="24"/>
        </w:rPr>
        <w:t>,</w:t>
      </w:r>
      <w:r w:rsidRPr="00AA51EE">
        <w:rPr>
          <w:sz w:val="24"/>
          <w:szCs w:val="24"/>
        </w:rPr>
        <w:t xml:space="preserve"> and collaborators or former mentors.  They may not, however, be members of Columbia’s faculty.</w:t>
      </w:r>
      <w:r w:rsidR="00FC4BE2" w:rsidRPr="00AA51EE">
        <w:rPr>
          <w:sz w:val="24"/>
          <w:szCs w:val="24"/>
        </w:rPr>
        <w:t xml:space="preserve">  </w:t>
      </w:r>
    </w:p>
    <w:p w:rsidR="00F5180B" w:rsidRPr="00AA51EE" w:rsidRDefault="00F5180B" w:rsidP="00F5180B">
      <w:pPr>
        <w:rPr>
          <w:sz w:val="24"/>
          <w:szCs w:val="24"/>
        </w:rPr>
      </w:pPr>
      <w:r w:rsidRPr="00AA51EE">
        <w:rPr>
          <w:sz w:val="24"/>
          <w:szCs w:val="24"/>
        </w:rPr>
        <w:lastRenderedPageBreak/>
        <w:t>Each referee is asked to compare the candidate with other scholars in his or her field.  In selecting the comparison scholars, care should be taken to define the field of specialization in which the appointment is being proposed in a manner which is appropriate</w:t>
      </w:r>
      <w:r w:rsidR="00361113">
        <w:rPr>
          <w:sz w:val="24"/>
          <w:szCs w:val="24"/>
        </w:rPr>
        <w:t>,</w:t>
      </w:r>
      <w:r w:rsidRPr="00AA51EE">
        <w:rPr>
          <w:sz w:val="24"/>
          <w:szCs w:val="24"/>
        </w:rPr>
        <w:t xml:space="preserve"> but not so narrow that the referees find it difficult to make meaningful comparisons between </w:t>
      </w:r>
      <w:r w:rsidR="00FC4BE2" w:rsidRPr="00AA51EE">
        <w:rPr>
          <w:sz w:val="24"/>
          <w:szCs w:val="24"/>
        </w:rPr>
        <w:t>the nominee and other scholars.</w:t>
      </w:r>
    </w:p>
    <w:p w:rsidR="00F5180B" w:rsidRPr="00AA51EE" w:rsidRDefault="00F5180B" w:rsidP="00F5180B">
      <w:pPr>
        <w:rPr>
          <w:sz w:val="24"/>
          <w:szCs w:val="24"/>
        </w:rPr>
      </w:pPr>
      <w:r w:rsidRPr="00AA51EE">
        <w:rPr>
          <w:sz w:val="24"/>
          <w:szCs w:val="24"/>
        </w:rPr>
        <w:t>The comparison list always contains leading figures in the nominee's specialization, even when the nominee is a younger scholar.  In those cases, the referees are asked to give their assessment of whether the nominee has the potential of reaching the level of achievement of the m</w:t>
      </w:r>
      <w:r w:rsidR="004B7E76" w:rsidRPr="00AA51EE">
        <w:rPr>
          <w:sz w:val="24"/>
          <w:szCs w:val="24"/>
        </w:rPr>
        <w:t>ore senior comparison scholars.</w:t>
      </w:r>
    </w:p>
    <w:p w:rsidR="00F5180B" w:rsidRPr="00AA51EE" w:rsidRDefault="00F5180B" w:rsidP="00F5180B">
      <w:pPr>
        <w:rPr>
          <w:sz w:val="24"/>
          <w:szCs w:val="24"/>
        </w:rPr>
      </w:pPr>
      <w:r w:rsidRPr="00AA51EE">
        <w:rPr>
          <w:sz w:val="24"/>
          <w:szCs w:val="24"/>
        </w:rPr>
        <w:t xml:space="preserve">Since the comparison scholars are chosen on the basis of their academic distinction, they may also be asked for evaluations of the nominee.  </w:t>
      </w:r>
      <w:r w:rsidR="005658BD">
        <w:rPr>
          <w:sz w:val="24"/>
          <w:szCs w:val="24"/>
        </w:rPr>
        <w:t>Th</w:t>
      </w:r>
      <w:r w:rsidR="00697419">
        <w:rPr>
          <w:sz w:val="24"/>
          <w:szCs w:val="24"/>
        </w:rPr>
        <w:t>at said</w:t>
      </w:r>
      <w:r w:rsidR="00AA51EE">
        <w:rPr>
          <w:sz w:val="24"/>
          <w:szCs w:val="24"/>
        </w:rPr>
        <w:t xml:space="preserve"> </w:t>
      </w:r>
      <w:r w:rsidRPr="00AA51EE">
        <w:rPr>
          <w:sz w:val="24"/>
          <w:szCs w:val="24"/>
        </w:rPr>
        <w:t xml:space="preserve">there may be other reasons why </w:t>
      </w:r>
      <w:r w:rsidR="00AA51EE">
        <w:rPr>
          <w:sz w:val="24"/>
          <w:szCs w:val="24"/>
        </w:rPr>
        <w:t>peers of the nominee</w:t>
      </w:r>
      <w:r w:rsidR="00AA51EE" w:rsidRPr="00AA51EE">
        <w:rPr>
          <w:sz w:val="24"/>
          <w:szCs w:val="24"/>
        </w:rPr>
        <w:t xml:space="preserve"> </w:t>
      </w:r>
      <w:r w:rsidRPr="00AA51EE">
        <w:rPr>
          <w:sz w:val="24"/>
          <w:szCs w:val="24"/>
        </w:rPr>
        <w:t xml:space="preserve">should not be asked for evaluations.  For example, a comparison scholar may hold a non-tenured appointment at another university or may have applied for the position for which the candidate is being considered.  </w:t>
      </w:r>
    </w:p>
    <w:p w:rsidR="00984F86" w:rsidRPr="000F53B1" w:rsidRDefault="00984F86" w:rsidP="00984F86">
      <w:pPr>
        <w:rPr>
          <w:sz w:val="24"/>
          <w:szCs w:val="24"/>
        </w:rPr>
      </w:pPr>
      <w:r w:rsidRPr="00AA51EE">
        <w:rPr>
          <w:sz w:val="24"/>
          <w:szCs w:val="24"/>
        </w:rPr>
        <w:t>To assist them in their task, the referees are provided with the nominee's curriculum vitae and, at the discretion of the Executive Vice President, samples of the nominee's written wor</w:t>
      </w:r>
      <w:r w:rsidR="00925E59" w:rsidRPr="00AA51EE">
        <w:rPr>
          <w:sz w:val="24"/>
          <w:szCs w:val="24"/>
        </w:rPr>
        <w:t xml:space="preserve">k. For example, the Executive Vice President </w:t>
      </w:r>
      <w:r w:rsidR="00FF26AA" w:rsidRPr="00AA51EE">
        <w:rPr>
          <w:sz w:val="24"/>
          <w:szCs w:val="24"/>
        </w:rPr>
        <w:t xml:space="preserve">may direct </w:t>
      </w:r>
      <w:r w:rsidR="00925E59" w:rsidRPr="00AA51EE">
        <w:rPr>
          <w:sz w:val="24"/>
          <w:szCs w:val="24"/>
        </w:rPr>
        <w:t>the samples</w:t>
      </w:r>
      <w:r w:rsidR="00FF26AA" w:rsidRPr="00AA51EE">
        <w:rPr>
          <w:sz w:val="24"/>
          <w:szCs w:val="24"/>
        </w:rPr>
        <w:t xml:space="preserve"> to be sent</w:t>
      </w:r>
      <w:r w:rsidR="00925E59" w:rsidRPr="00AA51EE">
        <w:rPr>
          <w:sz w:val="24"/>
          <w:szCs w:val="24"/>
        </w:rPr>
        <w:t xml:space="preserve"> upon the </w:t>
      </w:r>
      <w:r w:rsidR="00FF26AA" w:rsidRPr="00AA51EE">
        <w:rPr>
          <w:sz w:val="24"/>
          <w:szCs w:val="24"/>
        </w:rPr>
        <w:t xml:space="preserve">referee’s request </w:t>
      </w:r>
      <w:r w:rsidR="00925E59" w:rsidRPr="00AA51EE">
        <w:rPr>
          <w:sz w:val="24"/>
          <w:szCs w:val="24"/>
        </w:rPr>
        <w:t xml:space="preserve">or at the time of the solicitation. </w:t>
      </w:r>
      <w:r w:rsidRPr="00AA51EE">
        <w:rPr>
          <w:color w:val="FF0000"/>
          <w:sz w:val="24"/>
          <w:szCs w:val="24"/>
        </w:rPr>
        <w:t xml:space="preserve"> </w:t>
      </w:r>
      <w:r w:rsidR="00707026" w:rsidRPr="00AA51EE">
        <w:rPr>
          <w:sz w:val="24"/>
          <w:szCs w:val="24"/>
        </w:rPr>
        <w:t>At the department’s discretion, the nominee’s statement may also be included.</w:t>
      </w:r>
      <w:r w:rsidR="00707026" w:rsidRPr="000F53B1">
        <w:rPr>
          <w:sz w:val="24"/>
          <w:szCs w:val="24"/>
        </w:rPr>
        <w:t xml:space="preserve"> </w:t>
      </w:r>
    </w:p>
    <w:p w:rsidR="00021471" w:rsidRPr="00EC233B" w:rsidRDefault="00021471" w:rsidP="00984F86">
      <w:pPr>
        <w:rPr>
          <w:b/>
          <w:i/>
          <w:sz w:val="24"/>
          <w:szCs w:val="24"/>
        </w:rPr>
      </w:pPr>
      <w:r w:rsidRPr="00EC233B">
        <w:rPr>
          <w:b/>
          <w:i/>
          <w:sz w:val="24"/>
          <w:szCs w:val="24"/>
        </w:rPr>
        <w:t>Witnesses</w:t>
      </w:r>
    </w:p>
    <w:p w:rsidR="00021471" w:rsidRPr="002A68C6" w:rsidRDefault="00021471" w:rsidP="00021471">
      <w:pPr>
        <w:rPr>
          <w:sz w:val="24"/>
          <w:szCs w:val="24"/>
        </w:rPr>
      </w:pPr>
      <w:r w:rsidRPr="002A68C6">
        <w:rPr>
          <w:sz w:val="24"/>
          <w:szCs w:val="24"/>
        </w:rPr>
        <w:t>The Executive Vice President regularly calls upon persons to appear before the PTC who can present information on the need for the tenure</w:t>
      </w:r>
      <w:r w:rsidR="00983ABC" w:rsidRPr="002A68C6">
        <w:rPr>
          <w:sz w:val="24"/>
          <w:szCs w:val="24"/>
        </w:rPr>
        <w:t>d</w:t>
      </w:r>
      <w:r w:rsidRPr="002A68C6">
        <w:rPr>
          <w:sz w:val="24"/>
          <w:szCs w:val="24"/>
        </w:rPr>
        <w:t xml:space="preserve"> appointment and on the nominee's qualifications. These witnesses are selected in consultation with the chair of the PTC, the Executive </w:t>
      </w:r>
      <w:proofErr w:type="gramStart"/>
      <w:r w:rsidRPr="002A68C6">
        <w:rPr>
          <w:sz w:val="24"/>
          <w:szCs w:val="24"/>
        </w:rPr>
        <w:t>Vice</w:t>
      </w:r>
      <w:proofErr w:type="gramEnd"/>
      <w:r w:rsidRPr="002A68C6">
        <w:rPr>
          <w:sz w:val="24"/>
          <w:szCs w:val="24"/>
        </w:rPr>
        <w:t xml:space="preserve"> </w:t>
      </w:r>
      <w:r w:rsidR="00F2599F" w:rsidRPr="002A68C6">
        <w:rPr>
          <w:sz w:val="24"/>
          <w:szCs w:val="24"/>
        </w:rPr>
        <w:t>D</w:t>
      </w:r>
      <w:r w:rsidRPr="002A68C6">
        <w:rPr>
          <w:sz w:val="24"/>
          <w:szCs w:val="24"/>
        </w:rPr>
        <w:t>ean</w:t>
      </w:r>
      <w:r w:rsidR="00697419">
        <w:rPr>
          <w:sz w:val="24"/>
          <w:szCs w:val="24"/>
        </w:rPr>
        <w:t>,</w:t>
      </w:r>
      <w:r w:rsidRPr="002A68C6">
        <w:rPr>
          <w:sz w:val="24"/>
          <w:szCs w:val="24"/>
        </w:rPr>
        <w:t xml:space="preserve"> </w:t>
      </w:r>
      <w:r w:rsidR="00F2599F" w:rsidRPr="002A68C6">
        <w:rPr>
          <w:sz w:val="24"/>
          <w:szCs w:val="24"/>
        </w:rPr>
        <w:t xml:space="preserve">and the chair </w:t>
      </w:r>
      <w:r w:rsidRPr="002A68C6">
        <w:rPr>
          <w:sz w:val="24"/>
          <w:szCs w:val="24"/>
        </w:rPr>
        <w:t>of the nominating unit.</w:t>
      </w:r>
    </w:p>
    <w:p w:rsidR="00021471" w:rsidRDefault="00021471" w:rsidP="00021471">
      <w:pPr>
        <w:rPr>
          <w:sz w:val="24"/>
          <w:szCs w:val="24"/>
        </w:rPr>
      </w:pPr>
      <w:r w:rsidRPr="002A68C6">
        <w:rPr>
          <w:sz w:val="24"/>
          <w:szCs w:val="24"/>
        </w:rPr>
        <w:t>The appropriate department chair or dean presents the case for the nomination and is usually the principal witness. He or she may delegate this responsibility to another tenured faculty member who can more effectively discuss the nominee's qualifications and proposed role in the department or school. At the request of the chair, dean</w:t>
      </w:r>
      <w:r w:rsidR="00697419">
        <w:rPr>
          <w:sz w:val="24"/>
          <w:szCs w:val="24"/>
        </w:rPr>
        <w:t>,</w:t>
      </w:r>
      <w:r w:rsidRPr="002A68C6">
        <w:rPr>
          <w:sz w:val="24"/>
          <w:szCs w:val="24"/>
        </w:rPr>
        <w:t xml:space="preserve"> or Executive Vice President, a second witness from the nominating department or school will be asked to testify to the quality of the candidate's scholarship and teaching. When the candidate will have appointments in more than one department or school, the chairs or deans of all of the relevant units are routinely invited to appear before the committee.</w:t>
      </w:r>
      <w:r w:rsidR="002A68C6">
        <w:rPr>
          <w:sz w:val="24"/>
          <w:szCs w:val="24"/>
        </w:rPr>
        <w:t xml:space="preserve"> </w:t>
      </w:r>
      <w:r w:rsidRPr="002A68C6">
        <w:rPr>
          <w:sz w:val="24"/>
          <w:szCs w:val="24"/>
        </w:rPr>
        <w:t>The chair</w:t>
      </w:r>
      <w:r w:rsidR="007E12C3" w:rsidRPr="002A68C6">
        <w:rPr>
          <w:sz w:val="24"/>
          <w:szCs w:val="24"/>
        </w:rPr>
        <w:t xml:space="preserve"> or</w:t>
      </w:r>
      <w:r w:rsidRPr="002A68C6">
        <w:rPr>
          <w:sz w:val="24"/>
          <w:szCs w:val="24"/>
        </w:rPr>
        <w:t xml:space="preserve"> dean of the nominating unit is informed of all witnesses who will appear before the PTC.</w:t>
      </w:r>
    </w:p>
    <w:p w:rsidR="00492338" w:rsidRPr="00525E92" w:rsidRDefault="00AC6292" w:rsidP="007A4C4B">
      <w:pPr>
        <w:rPr>
          <w:sz w:val="24"/>
          <w:szCs w:val="24"/>
        </w:rPr>
      </w:pPr>
      <w:r w:rsidRPr="00525E92">
        <w:rPr>
          <w:b/>
          <w:sz w:val="24"/>
          <w:szCs w:val="24"/>
        </w:rPr>
        <w:t>Selection of the Promotion and Tenure Committee</w:t>
      </w:r>
    </w:p>
    <w:p w:rsidR="00DB10A9" w:rsidRPr="00525E92" w:rsidRDefault="00DB10A9" w:rsidP="007A4C4B">
      <w:pPr>
        <w:rPr>
          <w:sz w:val="24"/>
          <w:szCs w:val="24"/>
        </w:rPr>
      </w:pPr>
      <w:r w:rsidRPr="00525E92">
        <w:rPr>
          <w:sz w:val="24"/>
          <w:szCs w:val="24"/>
        </w:rPr>
        <w:lastRenderedPageBreak/>
        <w:t xml:space="preserve">The PTC </w:t>
      </w:r>
      <w:r w:rsidR="002642AF" w:rsidRPr="00525E92">
        <w:rPr>
          <w:sz w:val="24"/>
          <w:szCs w:val="24"/>
        </w:rPr>
        <w:t xml:space="preserve">consists of </w:t>
      </w:r>
      <w:r w:rsidR="007E12C3" w:rsidRPr="00525E92">
        <w:rPr>
          <w:sz w:val="24"/>
          <w:szCs w:val="24"/>
        </w:rPr>
        <w:t>nine</w:t>
      </w:r>
      <w:r w:rsidR="002642AF" w:rsidRPr="00525E92">
        <w:rPr>
          <w:sz w:val="24"/>
          <w:szCs w:val="24"/>
        </w:rPr>
        <w:t xml:space="preserve"> full professors in the Faculty of Arts and Sciences</w:t>
      </w:r>
      <w:r w:rsidRPr="00525E92">
        <w:rPr>
          <w:sz w:val="24"/>
          <w:szCs w:val="24"/>
        </w:rPr>
        <w:t xml:space="preserve">, </w:t>
      </w:r>
      <w:r w:rsidR="002642AF" w:rsidRPr="00525E92">
        <w:rPr>
          <w:sz w:val="24"/>
          <w:szCs w:val="24"/>
        </w:rPr>
        <w:t xml:space="preserve">representing </w:t>
      </w:r>
      <w:r w:rsidR="004A28FA" w:rsidRPr="00525E92">
        <w:rPr>
          <w:sz w:val="24"/>
          <w:szCs w:val="24"/>
        </w:rPr>
        <w:t xml:space="preserve">the three divisions, </w:t>
      </w:r>
      <w:r w:rsidR="00B86943" w:rsidRPr="00525E92">
        <w:rPr>
          <w:sz w:val="24"/>
          <w:szCs w:val="24"/>
        </w:rPr>
        <w:t>who serve for three year terms</w:t>
      </w:r>
      <w:r w:rsidR="009F5273" w:rsidRPr="00525E92">
        <w:rPr>
          <w:sz w:val="24"/>
          <w:szCs w:val="24"/>
        </w:rPr>
        <w:t>.</w:t>
      </w:r>
      <w:r w:rsidR="00B86943" w:rsidRPr="00525E92">
        <w:rPr>
          <w:sz w:val="24"/>
          <w:szCs w:val="24"/>
        </w:rPr>
        <w:t xml:space="preserve"> </w:t>
      </w:r>
      <w:r w:rsidRPr="00525E92">
        <w:rPr>
          <w:sz w:val="24"/>
          <w:szCs w:val="24"/>
        </w:rPr>
        <w:t>The PTC</w:t>
      </w:r>
      <w:r w:rsidR="0001428D">
        <w:rPr>
          <w:sz w:val="24"/>
          <w:szCs w:val="24"/>
        </w:rPr>
        <w:t xml:space="preserve"> members are</w:t>
      </w:r>
      <w:r w:rsidR="004A28FA" w:rsidRPr="00525E92">
        <w:rPr>
          <w:sz w:val="24"/>
          <w:szCs w:val="24"/>
        </w:rPr>
        <w:t xml:space="preserve"> </w:t>
      </w:r>
      <w:r w:rsidRPr="00525E92">
        <w:rPr>
          <w:sz w:val="24"/>
          <w:szCs w:val="24"/>
        </w:rPr>
        <w:t>appointed by the Executive Vice in consultation with the Planning and Policy Committee (PPC)</w:t>
      </w:r>
      <w:r w:rsidR="009F5273" w:rsidRPr="00525E92">
        <w:rPr>
          <w:sz w:val="24"/>
          <w:szCs w:val="24"/>
        </w:rPr>
        <w:t>. The chair</w:t>
      </w:r>
      <w:r w:rsidR="00697419">
        <w:rPr>
          <w:sz w:val="24"/>
          <w:szCs w:val="24"/>
        </w:rPr>
        <w:t xml:space="preserve"> of the PTC</w:t>
      </w:r>
      <w:r w:rsidR="009F5273" w:rsidRPr="00525E92">
        <w:rPr>
          <w:sz w:val="24"/>
          <w:szCs w:val="24"/>
        </w:rPr>
        <w:t xml:space="preserve"> is </w:t>
      </w:r>
      <w:r w:rsidR="00B25745">
        <w:rPr>
          <w:sz w:val="24"/>
          <w:szCs w:val="24"/>
        </w:rPr>
        <w:t>appointed</w:t>
      </w:r>
      <w:r w:rsidR="009F5273" w:rsidRPr="00525E92">
        <w:rPr>
          <w:sz w:val="24"/>
          <w:szCs w:val="24"/>
        </w:rPr>
        <w:t xml:space="preserve"> by the Executive Vice President in consultation with the </w:t>
      </w:r>
      <w:r w:rsidR="007E12C3" w:rsidRPr="00525E92">
        <w:rPr>
          <w:sz w:val="24"/>
          <w:szCs w:val="24"/>
        </w:rPr>
        <w:t>PTC</w:t>
      </w:r>
      <w:r w:rsidR="009F5273" w:rsidRPr="00525E92">
        <w:rPr>
          <w:sz w:val="24"/>
          <w:szCs w:val="24"/>
        </w:rPr>
        <w:t>.</w:t>
      </w:r>
    </w:p>
    <w:p w:rsidR="00E240D2" w:rsidRPr="00525E92" w:rsidRDefault="00F67427" w:rsidP="006E1F70">
      <w:pPr>
        <w:rPr>
          <w:b/>
          <w:sz w:val="24"/>
          <w:szCs w:val="24"/>
        </w:rPr>
      </w:pPr>
      <w:r w:rsidRPr="00525E92">
        <w:rPr>
          <w:b/>
          <w:sz w:val="24"/>
          <w:szCs w:val="24"/>
        </w:rPr>
        <w:t xml:space="preserve">Selection of </w:t>
      </w:r>
      <w:r w:rsidR="00E325EC">
        <w:rPr>
          <w:b/>
          <w:sz w:val="24"/>
          <w:szCs w:val="24"/>
        </w:rPr>
        <w:t xml:space="preserve">the </w:t>
      </w:r>
      <w:r w:rsidR="00C9330A">
        <w:rPr>
          <w:b/>
          <w:sz w:val="24"/>
          <w:szCs w:val="24"/>
        </w:rPr>
        <w:t>Review Panel</w:t>
      </w:r>
      <w:r w:rsidR="00E325EC">
        <w:rPr>
          <w:b/>
          <w:sz w:val="24"/>
          <w:szCs w:val="24"/>
        </w:rPr>
        <w:t xml:space="preserve"> for Each Tenure Review</w:t>
      </w:r>
    </w:p>
    <w:p w:rsidR="00411BF6" w:rsidRDefault="00E240D2" w:rsidP="00762CAE">
      <w:pPr>
        <w:rPr>
          <w:rFonts w:cstheme="minorHAnsi"/>
          <w:sz w:val="24"/>
          <w:szCs w:val="24"/>
        </w:rPr>
      </w:pPr>
      <w:r w:rsidRPr="000500DE">
        <w:rPr>
          <w:rFonts w:cstheme="minorHAnsi"/>
          <w:sz w:val="24"/>
          <w:szCs w:val="24"/>
        </w:rPr>
        <w:t>For each tenure review</w:t>
      </w:r>
      <w:r w:rsidR="006401EB">
        <w:rPr>
          <w:rFonts w:cstheme="minorHAnsi"/>
          <w:sz w:val="24"/>
          <w:szCs w:val="24"/>
        </w:rPr>
        <w:t>,</w:t>
      </w:r>
      <w:r w:rsidR="009370A4">
        <w:rPr>
          <w:rFonts w:cstheme="minorHAnsi"/>
          <w:sz w:val="24"/>
          <w:szCs w:val="24"/>
        </w:rPr>
        <w:t xml:space="preserve"> </w:t>
      </w:r>
      <w:r w:rsidR="00762CAE" w:rsidRPr="000500DE">
        <w:rPr>
          <w:rFonts w:cstheme="minorHAnsi"/>
          <w:sz w:val="24"/>
          <w:szCs w:val="24"/>
        </w:rPr>
        <w:t xml:space="preserve">a </w:t>
      </w:r>
      <w:r w:rsidR="00D643D6">
        <w:rPr>
          <w:rFonts w:cstheme="minorHAnsi"/>
          <w:sz w:val="24"/>
          <w:szCs w:val="24"/>
        </w:rPr>
        <w:t xml:space="preserve">seven person </w:t>
      </w:r>
      <w:r w:rsidR="00762CAE" w:rsidRPr="000500DE">
        <w:rPr>
          <w:rFonts w:cstheme="minorHAnsi"/>
          <w:sz w:val="24"/>
          <w:szCs w:val="24"/>
        </w:rPr>
        <w:t>review panel is constituted by the Executive Vice President in consultation with the chair of the PTC.</w:t>
      </w:r>
      <w:r w:rsidR="00762CAE">
        <w:rPr>
          <w:rFonts w:cstheme="minorHAnsi"/>
          <w:sz w:val="24"/>
          <w:szCs w:val="24"/>
        </w:rPr>
        <w:t xml:space="preserve"> </w:t>
      </w:r>
      <w:r w:rsidR="00762CAE" w:rsidRPr="000500DE">
        <w:rPr>
          <w:rFonts w:cstheme="minorHAnsi"/>
          <w:sz w:val="24"/>
          <w:szCs w:val="24"/>
        </w:rPr>
        <w:t xml:space="preserve">The review panel consists of </w:t>
      </w:r>
      <w:r w:rsidR="00FF2B90">
        <w:rPr>
          <w:rFonts w:cstheme="minorHAnsi"/>
          <w:sz w:val="24"/>
          <w:szCs w:val="24"/>
        </w:rPr>
        <w:t xml:space="preserve">a subpanel of </w:t>
      </w:r>
      <w:r w:rsidR="00762CAE" w:rsidRPr="000500DE">
        <w:rPr>
          <w:rFonts w:cstheme="minorHAnsi"/>
          <w:sz w:val="24"/>
          <w:szCs w:val="24"/>
        </w:rPr>
        <w:t xml:space="preserve">two tenured Columbia faculty members </w:t>
      </w:r>
      <w:r w:rsidR="00762CAE">
        <w:rPr>
          <w:rFonts w:cstheme="minorHAnsi"/>
          <w:sz w:val="24"/>
          <w:szCs w:val="24"/>
        </w:rPr>
        <w:t xml:space="preserve">(the outside members) and two PTC members </w:t>
      </w:r>
      <w:r w:rsidR="00762CAE" w:rsidRPr="000500DE">
        <w:rPr>
          <w:rFonts w:cstheme="minorHAnsi"/>
          <w:sz w:val="24"/>
          <w:szCs w:val="24"/>
        </w:rPr>
        <w:t>who are familiar with the cand</w:t>
      </w:r>
      <w:r w:rsidR="00762CAE">
        <w:rPr>
          <w:rFonts w:cstheme="minorHAnsi"/>
          <w:sz w:val="24"/>
          <w:szCs w:val="24"/>
        </w:rPr>
        <w:t>idate's field of specialization</w:t>
      </w:r>
      <w:r w:rsidR="0031344A">
        <w:rPr>
          <w:rFonts w:cstheme="minorHAnsi"/>
          <w:sz w:val="24"/>
          <w:szCs w:val="24"/>
        </w:rPr>
        <w:t xml:space="preserve"> and </w:t>
      </w:r>
      <w:r w:rsidR="00762CAE">
        <w:rPr>
          <w:rFonts w:cstheme="minorHAnsi"/>
          <w:sz w:val="24"/>
          <w:szCs w:val="24"/>
        </w:rPr>
        <w:t xml:space="preserve">will be charged with performing </w:t>
      </w:r>
      <w:r w:rsidR="00762CAE" w:rsidRPr="000500DE">
        <w:rPr>
          <w:rFonts w:cstheme="minorHAnsi"/>
          <w:sz w:val="24"/>
          <w:szCs w:val="24"/>
        </w:rPr>
        <w:t>a critical reading of the candidate’s scholarly work</w:t>
      </w:r>
      <w:r w:rsidR="00762CAE">
        <w:rPr>
          <w:rFonts w:cstheme="minorHAnsi"/>
          <w:sz w:val="24"/>
          <w:szCs w:val="24"/>
        </w:rPr>
        <w:t xml:space="preserve">. </w:t>
      </w:r>
      <w:r w:rsidR="0031344A">
        <w:rPr>
          <w:rFonts w:cstheme="minorHAnsi"/>
          <w:sz w:val="24"/>
          <w:szCs w:val="24"/>
        </w:rPr>
        <w:t xml:space="preserve">One of the </w:t>
      </w:r>
      <w:r w:rsidR="00633B31">
        <w:rPr>
          <w:rFonts w:cstheme="minorHAnsi"/>
          <w:sz w:val="24"/>
          <w:szCs w:val="24"/>
        </w:rPr>
        <w:t>four subpanel</w:t>
      </w:r>
      <w:r w:rsidR="0031344A">
        <w:rPr>
          <w:rFonts w:cstheme="minorHAnsi"/>
          <w:sz w:val="24"/>
          <w:szCs w:val="24"/>
        </w:rPr>
        <w:t xml:space="preserve"> members will be designated as the chair of </w:t>
      </w:r>
      <w:r w:rsidR="00355711">
        <w:rPr>
          <w:rFonts w:cstheme="minorHAnsi"/>
          <w:sz w:val="24"/>
          <w:szCs w:val="24"/>
        </w:rPr>
        <w:t xml:space="preserve">the </w:t>
      </w:r>
      <w:r w:rsidR="0031344A">
        <w:rPr>
          <w:rFonts w:cstheme="minorHAnsi"/>
          <w:sz w:val="24"/>
          <w:szCs w:val="24"/>
        </w:rPr>
        <w:t xml:space="preserve">subpanel. </w:t>
      </w:r>
      <w:r w:rsidR="00762CAE">
        <w:rPr>
          <w:rFonts w:cstheme="minorHAnsi"/>
          <w:sz w:val="24"/>
          <w:szCs w:val="24"/>
        </w:rPr>
        <w:t>The remainder of the review panel consists of</w:t>
      </w:r>
      <w:r w:rsidR="00762CAE" w:rsidRPr="000500DE">
        <w:rPr>
          <w:rFonts w:cstheme="minorHAnsi"/>
          <w:sz w:val="24"/>
          <w:szCs w:val="24"/>
        </w:rPr>
        <w:t xml:space="preserve"> two additional PTC members, one </w:t>
      </w:r>
      <w:r w:rsidR="00762CAE">
        <w:rPr>
          <w:rFonts w:cstheme="minorHAnsi"/>
          <w:sz w:val="24"/>
          <w:szCs w:val="24"/>
        </w:rPr>
        <w:t xml:space="preserve">of whom </w:t>
      </w:r>
      <w:r w:rsidR="00762CAE" w:rsidRPr="000500DE">
        <w:rPr>
          <w:rFonts w:cstheme="minorHAnsi"/>
          <w:sz w:val="24"/>
          <w:szCs w:val="24"/>
        </w:rPr>
        <w:t xml:space="preserve">is close in discipline to the candidate and another </w:t>
      </w:r>
      <w:r w:rsidR="00762CAE">
        <w:rPr>
          <w:rFonts w:cstheme="minorHAnsi"/>
          <w:sz w:val="24"/>
          <w:szCs w:val="24"/>
        </w:rPr>
        <w:t xml:space="preserve">of whom </w:t>
      </w:r>
      <w:r w:rsidR="00762CAE" w:rsidRPr="000500DE">
        <w:rPr>
          <w:rFonts w:cstheme="minorHAnsi"/>
          <w:sz w:val="24"/>
          <w:szCs w:val="24"/>
        </w:rPr>
        <w:t>is distant from the candidate’s field</w:t>
      </w:r>
      <w:r w:rsidR="0031344A">
        <w:rPr>
          <w:rFonts w:cstheme="minorHAnsi"/>
          <w:sz w:val="24"/>
          <w:szCs w:val="24"/>
        </w:rPr>
        <w:t xml:space="preserve">, and the chair of the PTC. </w:t>
      </w:r>
      <w:r w:rsidR="00762CAE" w:rsidRPr="000500DE">
        <w:rPr>
          <w:rFonts w:cstheme="minorHAnsi"/>
          <w:sz w:val="24"/>
          <w:szCs w:val="24"/>
        </w:rPr>
        <w:t xml:space="preserve">This representation is intended to ensure an appropriate </w:t>
      </w:r>
      <w:r w:rsidR="00355711">
        <w:rPr>
          <w:rFonts w:cstheme="minorHAnsi"/>
          <w:sz w:val="24"/>
          <w:szCs w:val="24"/>
        </w:rPr>
        <w:t xml:space="preserve">depth and </w:t>
      </w:r>
      <w:r w:rsidR="00762CAE" w:rsidRPr="000500DE">
        <w:rPr>
          <w:rFonts w:cstheme="minorHAnsi"/>
          <w:sz w:val="24"/>
          <w:szCs w:val="24"/>
        </w:rPr>
        <w:t xml:space="preserve">breadth of knowledge while also ensuring that the standards for tenure are consistent across the disciplines. </w:t>
      </w:r>
    </w:p>
    <w:p w:rsidR="00B05891" w:rsidRPr="0073499A" w:rsidRDefault="00762CAE" w:rsidP="00762CAE">
      <w:pPr>
        <w:rPr>
          <w:sz w:val="24"/>
          <w:szCs w:val="24"/>
        </w:rPr>
      </w:pPr>
      <w:r w:rsidRPr="000500DE">
        <w:rPr>
          <w:sz w:val="24"/>
          <w:szCs w:val="24"/>
        </w:rPr>
        <w:t>Members of the review panel may not have collaborated with the candidate, served on a search committee that selected the nominee</w:t>
      </w:r>
      <w:r>
        <w:rPr>
          <w:sz w:val="24"/>
          <w:szCs w:val="24"/>
        </w:rPr>
        <w:t>,</w:t>
      </w:r>
      <w:r w:rsidRPr="000500DE">
        <w:rPr>
          <w:sz w:val="24"/>
          <w:szCs w:val="24"/>
        </w:rPr>
        <w:t xml:space="preserve"> or voted on the nomination at either the department or school level. </w:t>
      </w:r>
      <w:r>
        <w:rPr>
          <w:rFonts w:cstheme="minorHAnsi"/>
          <w:sz w:val="24"/>
          <w:szCs w:val="24"/>
        </w:rPr>
        <w:t>The</w:t>
      </w:r>
      <w:r w:rsidRPr="000500DE">
        <w:rPr>
          <w:rFonts w:cstheme="minorHAnsi"/>
          <w:sz w:val="24"/>
          <w:szCs w:val="24"/>
        </w:rPr>
        <w:t xml:space="preserve"> outside members may hold appointments in any Faculty in the University, including Barnard College and Teachers College.  Retired members of the tenured faculty may also serve </w:t>
      </w:r>
      <w:r w:rsidR="00411BF6">
        <w:rPr>
          <w:rFonts w:cstheme="minorHAnsi"/>
          <w:sz w:val="24"/>
          <w:szCs w:val="24"/>
        </w:rPr>
        <w:t xml:space="preserve">as </w:t>
      </w:r>
      <w:r>
        <w:rPr>
          <w:rFonts w:cstheme="minorHAnsi"/>
          <w:sz w:val="24"/>
          <w:szCs w:val="24"/>
        </w:rPr>
        <w:t xml:space="preserve">outside members </w:t>
      </w:r>
      <w:r w:rsidRPr="000500DE">
        <w:rPr>
          <w:rFonts w:cstheme="minorHAnsi"/>
          <w:sz w:val="24"/>
          <w:szCs w:val="24"/>
        </w:rPr>
        <w:t>when the PTC and the Executive Vice President conclude that they can bring a needed expertise to the evaluation of a candidate</w:t>
      </w:r>
      <w:r w:rsidR="00355711">
        <w:rPr>
          <w:rFonts w:cstheme="minorHAnsi"/>
          <w:sz w:val="24"/>
          <w:szCs w:val="24"/>
        </w:rPr>
        <w:t xml:space="preserve">. </w:t>
      </w:r>
      <w:r w:rsidRPr="000500DE">
        <w:rPr>
          <w:rFonts w:cstheme="minorHAnsi"/>
          <w:sz w:val="24"/>
          <w:szCs w:val="24"/>
        </w:rPr>
        <w:t xml:space="preserve">The Executive Vice President may change the membership of the review </w:t>
      </w:r>
      <w:r w:rsidR="00411BF6">
        <w:rPr>
          <w:rFonts w:cstheme="minorHAnsi"/>
          <w:sz w:val="24"/>
          <w:szCs w:val="24"/>
        </w:rPr>
        <w:t>panel</w:t>
      </w:r>
      <w:r w:rsidRPr="000500DE">
        <w:rPr>
          <w:rFonts w:cstheme="minorHAnsi"/>
          <w:sz w:val="24"/>
          <w:szCs w:val="24"/>
        </w:rPr>
        <w:t xml:space="preserve"> at any time after consulting with the chair of the review panel and the chair of the PTC. Membership on review panels is confidential.</w:t>
      </w:r>
    </w:p>
    <w:p w:rsidR="004B7E76" w:rsidRPr="000500DE" w:rsidRDefault="00B51D9B" w:rsidP="004B7E76">
      <w:pPr>
        <w:rPr>
          <w:b/>
          <w:sz w:val="24"/>
          <w:szCs w:val="24"/>
        </w:rPr>
      </w:pPr>
      <w:r w:rsidRPr="000500DE">
        <w:rPr>
          <w:b/>
          <w:sz w:val="24"/>
          <w:szCs w:val="24"/>
        </w:rPr>
        <w:t xml:space="preserve">Deadlines </w:t>
      </w:r>
      <w:r w:rsidR="004B7E76" w:rsidRPr="000500DE">
        <w:rPr>
          <w:b/>
          <w:sz w:val="24"/>
          <w:szCs w:val="24"/>
        </w:rPr>
        <w:t>for Submitting Materials</w:t>
      </w:r>
      <w:r w:rsidR="00EC233B" w:rsidRPr="000500DE">
        <w:rPr>
          <w:b/>
          <w:sz w:val="24"/>
          <w:szCs w:val="24"/>
        </w:rPr>
        <w:t xml:space="preserve"> to the PTC</w:t>
      </w:r>
    </w:p>
    <w:p w:rsidR="0014332D" w:rsidRPr="000500DE" w:rsidRDefault="00EC233B" w:rsidP="000C5BB1">
      <w:pPr>
        <w:rPr>
          <w:sz w:val="24"/>
          <w:szCs w:val="24"/>
        </w:rPr>
      </w:pPr>
      <w:r w:rsidRPr="000500DE">
        <w:rPr>
          <w:sz w:val="24"/>
          <w:szCs w:val="24"/>
        </w:rPr>
        <w:t xml:space="preserve"> </w:t>
      </w:r>
      <w:r w:rsidR="004B7E76" w:rsidRPr="000500DE">
        <w:rPr>
          <w:sz w:val="24"/>
          <w:szCs w:val="24"/>
        </w:rPr>
        <w:t xml:space="preserve">To assist the Office of the Executive Vice President in planning the work of the </w:t>
      </w:r>
      <w:r w:rsidR="000C5BB1" w:rsidRPr="000500DE">
        <w:rPr>
          <w:sz w:val="24"/>
          <w:szCs w:val="24"/>
        </w:rPr>
        <w:t>PTC,</w:t>
      </w:r>
      <w:r w:rsidR="00CC108C" w:rsidRPr="000500DE">
        <w:rPr>
          <w:sz w:val="24"/>
          <w:szCs w:val="24"/>
        </w:rPr>
        <w:t xml:space="preserve"> the</w:t>
      </w:r>
      <w:r w:rsidR="000C5BB1" w:rsidRPr="000500DE">
        <w:rPr>
          <w:sz w:val="24"/>
          <w:szCs w:val="24"/>
        </w:rPr>
        <w:t xml:space="preserve"> </w:t>
      </w:r>
      <w:r w:rsidR="004B7E76" w:rsidRPr="000500DE">
        <w:rPr>
          <w:sz w:val="24"/>
          <w:szCs w:val="24"/>
        </w:rPr>
        <w:t>chair</w:t>
      </w:r>
      <w:r w:rsidR="00CC108C" w:rsidRPr="000500DE">
        <w:rPr>
          <w:sz w:val="24"/>
          <w:szCs w:val="24"/>
        </w:rPr>
        <w:t xml:space="preserve"> or dean</w:t>
      </w:r>
      <w:r w:rsidR="004B7E76" w:rsidRPr="000500DE">
        <w:rPr>
          <w:sz w:val="24"/>
          <w:szCs w:val="24"/>
        </w:rPr>
        <w:t xml:space="preserve"> should submit </w:t>
      </w:r>
      <w:r w:rsidR="00B51D9B" w:rsidRPr="000500DE">
        <w:rPr>
          <w:sz w:val="24"/>
          <w:szCs w:val="24"/>
        </w:rPr>
        <w:t>materials for all</w:t>
      </w:r>
      <w:r w:rsidR="004B7E76" w:rsidRPr="000500DE">
        <w:rPr>
          <w:sz w:val="24"/>
          <w:szCs w:val="24"/>
        </w:rPr>
        <w:t xml:space="preserve"> individuals whom they expect to </w:t>
      </w:r>
      <w:r w:rsidR="00B51D9B" w:rsidRPr="000500DE">
        <w:rPr>
          <w:sz w:val="24"/>
          <w:szCs w:val="24"/>
        </w:rPr>
        <w:t xml:space="preserve">review </w:t>
      </w:r>
      <w:r w:rsidR="004B7E76" w:rsidRPr="000500DE">
        <w:rPr>
          <w:sz w:val="24"/>
          <w:szCs w:val="24"/>
        </w:rPr>
        <w:t xml:space="preserve">for tenure </w:t>
      </w:r>
      <w:r w:rsidR="000C5BB1" w:rsidRPr="000500DE">
        <w:rPr>
          <w:sz w:val="24"/>
          <w:szCs w:val="24"/>
        </w:rPr>
        <w:t>no later than the start of April</w:t>
      </w:r>
      <w:r w:rsidR="004B7E76" w:rsidRPr="000500DE">
        <w:rPr>
          <w:sz w:val="24"/>
          <w:szCs w:val="24"/>
        </w:rPr>
        <w:t xml:space="preserve"> of the academic year preceding the expected nomination</w:t>
      </w:r>
      <w:r w:rsidR="00B51D9B" w:rsidRPr="000500DE">
        <w:rPr>
          <w:sz w:val="24"/>
          <w:szCs w:val="24"/>
        </w:rPr>
        <w:t>.</w:t>
      </w:r>
      <w:r w:rsidR="00C068CF">
        <w:rPr>
          <w:sz w:val="24"/>
          <w:szCs w:val="24"/>
        </w:rPr>
        <w:t xml:space="preserve"> </w:t>
      </w:r>
      <w:r w:rsidR="0014332D" w:rsidRPr="000500DE">
        <w:rPr>
          <w:sz w:val="24"/>
          <w:szCs w:val="24"/>
        </w:rPr>
        <w:t xml:space="preserve">In the case of some nominations, the candidate will not </w:t>
      </w:r>
      <w:r w:rsidR="009570AF" w:rsidRPr="000500DE">
        <w:rPr>
          <w:sz w:val="24"/>
          <w:szCs w:val="24"/>
        </w:rPr>
        <w:t>have been identified</w:t>
      </w:r>
      <w:r w:rsidR="0014332D" w:rsidRPr="000500DE">
        <w:rPr>
          <w:sz w:val="24"/>
          <w:szCs w:val="24"/>
        </w:rPr>
        <w:t xml:space="preserve"> by the beginning of April. External searches may not be completed by then or it may become necessary to prepare a tenure review for a junior faculty member who is being rec</w:t>
      </w:r>
      <w:r w:rsidR="008B1005" w:rsidRPr="000500DE">
        <w:rPr>
          <w:sz w:val="24"/>
          <w:szCs w:val="24"/>
        </w:rPr>
        <w:t>ruited by another university. As</w:t>
      </w:r>
      <w:r w:rsidR="0014332D" w:rsidRPr="000500DE">
        <w:rPr>
          <w:sz w:val="24"/>
          <w:szCs w:val="24"/>
        </w:rPr>
        <w:t xml:space="preserve"> additional candidates are identified, the chai</w:t>
      </w:r>
      <w:r w:rsidR="008B1005" w:rsidRPr="000500DE">
        <w:rPr>
          <w:sz w:val="24"/>
          <w:szCs w:val="24"/>
        </w:rPr>
        <w:t>r or dean</w:t>
      </w:r>
      <w:r w:rsidR="0014332D" w:rsidRPr="000500DE">
        <w:rPr>
          <w:sz w:val="24"/>
          <w:szCs w:val="24"/>
        </w:rPr>
        <w:t xml:space="preserve"> should notify the Office of the </w:t>
      </w:r>
      <w:r w:rsidR="008B1005" w:rsidRPr="000500DE">
        <w:rPr>
          <w:sz w:val="24"/>
          <w:szCs w:val="24"/>
        </w:rPr>
        <w:t>Executive Vice President</w:t>
      </w:r>
      <w:r w:rsidR="0014332D" w:rsidRPr="000500DE">
        <w:rPr>
          <w:sz w:val="24"/>
          <w:szCs w:val="24"/>
        </w:rPr>
        <w:t xml:space="preserve">. For each individual, </w:t>
      </w:r>
      <w:r w:rsidR="009570AF" w:rsidRPr="000500DE">
        <w:rPr>
          <w:sz w:val="24"/>
          <w:szCs w:val="24"/>
        </w:rPr>
        <w:t xml:space="preserve">he or she </w:t>
      </w:r>
      <w:r w:rsidR="0014332D" w:rsidRPr="000500DE">
        <w:rPr>
          <w:sz w:val="24"/>
          <w:szCs w:val="24"/>
        </w:rPr>
        <w:t>should include the same information as is required for internal nominees.</w:t>
      </w:r>
    </w:p>
    <w:p w:rsidR="004B7E76" w:rsidRPr="000500DE" w:rsidRDefault="004B7E76" w:rsidP="004B7E76">
      <w:pPr>
        <w:rPr>
          <w:sz w:val="24"/>
          <w:szCs w:val="24"/>
        </w:rPr>
      </w:pPr>
      <w:r w:rsidRPr="000500DE">
        <w:rPr>
          <w:sz w:val="24"/>
          <w:szCs w:val="24"/>
        </w:rPr>
        <w:lastRenderedPageBreak/>
        <w:t>The nomination</w:t>
      </w:r>
      <w:r w:rsidR="00EC233B" w:rsidRPr="000500DE">
        <w:rPr>
          <w:sz w:val="24"/>
          <w:szCs w:val="24"/>
        </w:rPr>
        <w:t>s</w:t>
      </w:r>
      <w:r w:rsidRPr="000500DE">
        <w:rPr>
          <w:sz w:val="24"/>
          <w:szCs w:val="24"/>
        </w:rPr>
        <w:t xml:space="preserve"> and complete dossier</w:t>
      </w:r>
      <w:r w:rsidR="00EC233B" w:rsidRPr="000500DE">
        <w:rPr>
          <w:sz w:val="24"/>
          <w:szCs w:val="24"/>
        </w:rPr>
        <w:t>s</w:t>
      </w:r>
      <w:r w:rsidRPr="000500DE">
        <w:rPr>
          <w:sz w:val="24"/>
          <w:szCs w:val="24"/>
        </w:rPr>
        <w:t xml:space="preserve"> for internal candidates must be submitted to the Office of the Executi</w:t>
      </w:r>
      <w:r w:rsidR="0014332D" w:rsidRPr="000500DE">
        <w:rPr>
          <w:sz w:val="24"/>
          <w:szCs w:val="24"/>
        </w:rPr>
        <w:t xml:space="preserve">ve Vice President by </w:t>
      </w:r>
      <w:r w:rsidR="00411BF6">
        <w:rPr>
          <w:sz w:val="24"/>
          <w:szCs w:val="24"/>
        </w:rPr>
        <w:t xml:space="preserve">the beginning of </w:t>
      </w:r>
      <w:r w:rsidR="0014332D" w:rsidRPr="000500DE">
        <w:rPr>
          <w:sz w:val="24"/>
          <w:szCs w:val="24"/>
        </w:rPr>
        <w:t>December</w:t>
      </w:r>
      <w:r w:rsidRPr="000500DE">
        <w:rPr>
          <w:sz w:val="24"/>
          <w:szCs w:val="24"/>
        </w:rPr>
        <w:t xml:space="preserve">. </w:t>
      </w:r>
      <w:r w:rsidR="00EC233B" w:rsidRPr="000500DE">
        <w:rPr>
          <w:sz w:val="24"/>
          <w:szCs w:val="24"/>
        </w:rPr>
        <w:t xml:space="preserve">The nominations and complete dossiers for external candidates should be submitted as soon as is feasible and </w:t>
      </w:r>
      <w:r w:rsidR="0014332D" w:rsidRPr="000500DE">
        <w:rPr>
          <w:sz w:val="24"/>
          <w:szCs w:val="24"/>
        </w:rPr>
        <w:t>no later than</w:t>
      </w:r>
      <w:r w:rsidR="00EC233B" w:rsidRPr="000500DE">
        <w:rPr>
          <w:sz w:val="24"/>
          <w:szCs w:val="24"/>
        </w:rPr>
        <w:t xml:space="preserve"> </w:t>
      </w:r>
      <w:r w:rsidR="00411BF6">
        <w:rPr>
          <w:sz w:val="24"/>
          <w:szCs w:val="24"/>
        </w:rPr>
        <w:t>mid-</w:t>
      </w:r>
      <w:r w:rsidR="00EC233B" w:rsidRPr="000500DE">
        <w:rPr>
          <w:sz w:val="24"/>
          <w:szCs w:val="24"/>
        </w:rPr>
        <w:t xml:space="preserve">February. </w:t>
      </w:r>
      <w:r w:rsidRPr="000500DE">
        <w:rPr>
          <w:sz w:val="24"/>
          <w:szCs w:val="24"/>
        </w:rPr>
        <w:t>The Executive Vice President will grant exceptions to that deadline only to meet a competing offer from another university</w:t>
      </w:r>
      <w:r w:rsidR="008D137C">
        <w:rPr>
          <w:sz w:val="24"/>
          <w:szCs w:val="24"/>
        </w:rPr>
        <w:t>,</w:t>
      </w:r>
      <w:r w:rsidRPr="000500DE">
        <w:rPr>
          <w:sz w:val="24"/>
          <w:szCs w:val="24"/>
        </w:rPr>
        <w:t xml:space="preserve"> or where there are other, special circumstances that make a late nomination unavoidable. A dossier is not considered complete until all of the materials described above have been submitted.</w:t>
      </w:r>
    </w:p>
    <w:p w:rsidR="004B7E76" w:rsidRPr="000500DE" w:rsidRDefault="004B7E76" w:rsidP="004B7E76">
      <w:pPr>
        <w:rPr>
          <w:sz w:val="24"/>
          <w:szCs w:val="24"/>
        </w:rPr>
      </w:pPr>
      <w:r w:rsidRPr="000500DE">
        <w:rPr>
          <w:sz w:val="24"/>
          <w:szCs w:val="24"/>
        </w:rPr>
        <w:t xml:space="preserve">The Executive Vice President’s Office normally does not schedule the </w:t>
      </w:r>
      <w:r w:rsidR="005C083A" w:rsidRPr="000500DE">
        <w:rPr>
          <w:sz w:val="24"/>
          <w:szCs w:val="24"/>
        </w:rPr>
        <w:t>review</w:t>
      </w:r>
      <w:r w:rsidRPr="000500DE">
        <w:rPr>
          <w:sz w:val="24"/>
          <w:szCs w:val="24"/>
        </w:rPr>
        <w:t xml:space="preserve"> until it has received a complete set of the materials. The nominating chair or dean should, therefore, </w:t>
      </w:r>
      <w:r w:rsidR="0064556F" w:rsidRPr="000500DE">
        <w:rPr>
          <w:sz w:val="24"/>
          <w:szCs w:val="24"/>
        </w:rPr>
        <w:t xml:space="preserve">submit </w:t>
      </w:r>
      <w:r w:rsidRPr="000500DE">
        <w:rPr>
          <w:sz w:val="24"/>
          <w:szCs w:val="24"/>
        </w:rPr>
        <w:t xml:space="preserve">the candidate’s dossier </w:t>
      </w:r>
      <w:r w:rsidR="0064556F" w:rsidRPr="000500DE">
        <w:rPr>
          <w:sz w:val="24"/>
          <w:szCs w:val="24"/>
        </w:rPr>
        <w:t xml:space="preserve">and supporting materials </w:t>
      </w:r>
      <w:r w:rsidRPr="000500DE">
        <w:rPr>
          <w:sz w:val="24"/>
          <w:szCs w:val="24"/>
        </w:rPr>
        <w:t>as early as possible. The original dossier may be augmented with new materials at any point prior to the meeting of the PTC. It is especially important for the chair or dean to ensure that the PTC</w:t>
      </w:r>
      <w:r w:rsidR="00EC233B" w:rsidRPr="000500DE">
        <w:rPr>
          <w:sz w:val="24"/>
          <w:szCs w:val="24"/>
        </w:rPr>
        <w:t xml:space="preserve"> has a</w:t>
      </w:r>
      <w:r w:rsidR="00F82D01" w:rsidRPr="000500DE">
        <w:rPr>
          <w:sz w:val="24"/>
          <w:szCs w:val="24"/>
        </w:rPr>
        <w:t xml:space="preserve"> </w:t>
      </w:r>
      <w:r w:rsidRPr="000500DE">
        <w:rPr>
          <w:sz w:val="24"/>
          <w:szCs w:val="24"/>
        </w:rPr>
        <w:t xml:space="preserve">current curriculum vitae </w:t>
      </w:r>
      <w:r w:rsidR="00EC233B" w:rsidRPr="000500DE">
        <w:rPr>
          <w:sz w:val="24"/>
          <w:szCs w:val="24"/>
        </w:rPr>
        <w:t xml:space="preserve">and </w:t>
      </w:r>
      <w:r w:rsidR="00F82D01" w:rsidRPr="000500DE">
        <w:rPr>
          <w:sz w:val="24"/>
          <w:szCs w:val="24"/>
        </w:rPr>
        <w:t xml:space="preserve">statement from the nominee </w:t>
      </w:r>
      <w:r w:rsidRPr="000500DE">
        <w:rPr>
          <w:sz w:val="24"/>
          <w:szCs w:val="24"/>
        </w:rPr>
        <w:t>at the time of its meeting.</w:t>
      </w:r>
    </w:p>
    <w:p w:rsidR="00F66864" w:rsidRPr="000500DE" w:rsidRDefault="00F66864" w:rsidP="00F66864">
      <w:pPr>
        <w:rPr>
          <w:b/>
          <w:sz w:val="24"/>
          <w:szCs w:val="24"/>
        </w:rPr>
      </w:pPr>
      <w:r w:rsidRPr="000500DE">
        <w:rPr>
          <w:b/>
          <w:sz w:val="24"/>
          <w:szCs w:val="24"/>
        </w:rPr>
        <w:t>Role of the Divisional Deans</w:t>
      </w:r>
    </w:p>
    <w:p w:rsidR="00F66864" w:rsidRDefault="00684F5B" w:rsidP="00F66864">
      <w:pPr>
        <w:rPr>
          <w:sz w:val="24"/>
          <w:szCs w:val="24"/>
        </w:rPr>
      </w:pPr>
      <w:r w:rsidRPr="000500DE">
        <w:rPr>
          <w:sz w:val="24"/>
          <w:szCs w:val="24"/>
        </w:rPr>
        <w:t xml:space="preserve">The divisional deans </w:t>
      </w:r>
      <w:r w:rsidR="000252D9">
        <w:rPr>
          <w:sz w:val="24"/>
          <w:szCs w:val="24"/>
        </w:rPr>
        <w:t>normally</w:t>
      </w:r>
      <w:r w:rsidRPr="000500DE">
        <w:rPr>
          <w:sz w:val="24"/>
          <w:szCs w:val="24"/>
        </w:rPr>
        <w:t xml:space="preserve"> participate in reviews within their divisions at </w:t>
      </w:r>
      <w:r w:rsidR="000252D9">
        <w:rPr>
          <w:sz w:val="24"/>
          <w:szCs w:val="24"/>
        </w:rPr>
        <w:t>the following</w:t>
      </w:r>
      <w:r w:rsidRPr="000500DE">
        <w:rPr>
          <w:sz w:val="24"/>
          <w:szCs w:val="24"/>
        </w:rPr>
        <w:t xml:space="preserve"> stage</w:t>
      </w:r>
      <w:r w:rsidR="000252D9">
        <w:rPr>
          <w:sz w:val="24"/>
          <w:szCs w:val="24"/>
        </w:rPr>
        <w:t>s</w:t>
      </w:r>
      <w:r w:rsidRPr="000500DE">
        <w:rPr>
          <w:sz w:val="24"/>
          <w:szCs w:val="24"/>
        </w:rPr>
        <w:t xml:space="preserve"> in the process</w:t>
      </w:r>
      <w:r w:rsidR="005836FB" w:rsidRPr="000500DE">
        <w:rPr>
          <w:sz w:val="24"/>
          <w:szCs w:val="24"/>
        </w:rPr>
        <w:t xml:space="preserve">: 1) give </w:t>
      </w:r>
      <w:r w:rsidR="00F66864" w:rsidRPr="000500DE">
        <w:rPr>
          <w:sz w:val="24"/>
          <w:szCs w:val="24"/>
        </w:rPr>
        <w:t>authorization to the department to conduct the review (typically in December of the year before the review)</w:t>
      </w:r>
      <w:r w:rsidR="005836FB" w:rsidRPr="000500DE">
        <w:rPr>
          <w:sz w:val="24"/>
          <w:szCs w:val="24"/>
        </w:rPr>
        <w:t xml:space="preserve">; 2) give </w:t>
      </w:r>
      <w:r w:rsidR="00F66864" w:rsidRPr="000500DE">
        <w:rPr>
          <w:sz w:val="24"/>
          <w:szCs w:val="24"/>
        </w:rPr>
        <w:t>authorization to the department to advance to the letter writing stage</w:t>
      </w:r>
      <w:r w:rsidR="005836FB" w:rsidRPr="000500DE">
        <w:rPr>
          <w:sz w:val="24"/>
          <w:szCs w:val="24"/>
        </w:rPr>
        <w:t>; 3) vet the</w:t>
      </w:r>
      <w:r w:rsidR="00F66864" w:rsidRPr="000500DE">
        <w:rPr>
          <w:sz w:val="24"/>
          <w:szCs w:val="24"/>
        </w:rPr>
        <w:t xml:space="preserve"> </w:t>
      </w:r>
      <w:r w:rsidR="008D137C">
        <w:rPr>
          <w:sz w:val="24"/>
          <w:szCs w:val="24"/>
        </w:rPr>
        <w:t xml:space="preserve">lists, </w:t>
      </w:r>
      <w:proofErr w:type="spellStart"/>
      <w:r w:rsidR="008D137C">
        <w:rPr>
          <w:sz w:val="24"/>
          <w:szCs w:val="24"/>
        </w:rPr>
        <w:t>cv</w:t>
      </w:r>
      <w:proofErr w:type="spellEnd"/>
      <w:r w:rsidR="008D137C">
        <w:rPr>
          <w:sz w:val="24"/>
          <w:szCs w:val="24"/>
        </w:rPr>
        <w:t xml:space="preserve"> and nominee statement</w:t>
      </w:r>
      <w:r w:rsidR="00F66864" w:rsidRPr="000500DE">
        <w:rPr>
          <w:sz w:val="24"/>
          <w:szCs w:val="24"/>
        </w:rPr>
        <w:t xml:space="preserve"> </w:t>
      </w:r>
      <w:r w:rsidR="00AA75E8" w:rsidRPr="000500DE">
        <w:rPr>
          <w:sz w:val="24"/>
          <w:szCs w:val="24"/>
        </w:rPr>
        <w:t xml:space="preserve">using </w:t>
      </w:r>
      <w:r w:rsidR="005836FB" w:rsidRPr="000500DE">
        <w:rPr>
          <w:sz w:val="24"/>
          <w:szCs w:val="24"/>
        </w:rPr>
        <w:t>consultants if they are deemed necessary; 4) review the</w:t>
      </w:r>
      <w:r w:rsidR="00F66864" w:rsidRPr="000500DE">
        <w:rPr>
          <w:sz w:val="24"/>
          <w:szCs w:val="24"/>
        </w:rPr>
        <w:t xml:space="preserve"> referee letters</w:t>
      </w:r>
      <w:r w:rsidR="005836FB" w:rsidRPr="000500DE">
        <w:rPr>
          <w:sz w:val="24"/>
          <w:szCs w:val="24"/>
        </w:rPr>
        <w:t xml:space="preserve">; 5) vet </w:t>
      </w:r>
      <w:r w:rsidR="00F66864" w:rsidRPr="000500DE">
        <w:rPr>
          <w:sz w:val="24"/>
          <w:szCs w:val="24"/>
        </w:rPr>
        <w:t>external members for sub</w:t>
      </w:r>
      <w:r w:rsidR="00633B31">
        <w:rPr>
          <w:sz w:val="24"/>
          <w:szCs w:val="24"/>
        </w:rPr>
        <w:t>panel</w:t>
      </w:r>
      <w:r w:rsidR="00F66864" w:rsidRPr="000500DE">
        <w:rPr>
          <w:sz w:val="24"/>
          <w:szCs w:val="24"/>
        </w:rPr>
        <w:t>s</w:t>
      </w:r>
      <w:r w:rsidR="005836FB" w:rsidRPr="000500DE">
        <w:rPr>
          <w:sz w:val="24"/>
          <w:szCs w:val="24"/>
        </w:rPr>
        <w:t>; 6) vet the</w:t>
      </w:r>
      <w:r w:rsidR="00F66864" w:rsidRPr="000500DE">
        <w:rPr>
          <w:sz w:val="24"/>
          <w:szCs w:val="24"/>
        </w:rPr>
        <w:t xml:space="preserve"> draft of </w:t>
      </w:r>
      <w:r w:rsidR="005836FB" w:rsidRPr="000500DE">
        <w:rPr>
          <w:sz w:val="24"/>
          <w:szCs w:val="24"/>
        </w:rPr>
        <w:t xml:space="preserve">the </w:t>
      </w:r>
      <w:r w:rsidR="00F66864" w:rsidRPr="000500DE">
        <w:rPr>
          <w:sz w:val="24"/>
          <w:szCs w:val="24"/>
        </w:rPr>
        <w:t>case statement</w:t>
      </w:r>
      <w:r w:rsidR="005836FB" w:rsidRPr="000500DE">
        <w:rPr>
          <w:sz w:val="24"/>
          <w:szCs w:val="24"/>
        </w:rPr>
        <w:t xml:space="preserve"> and other materials as needed; 7) provide</w:t>
      </w:r>
      <w:r w:rsidR="000D2A86" w:rsidRPr="000500DE">
        <w:rPr>
          <w:sz w:val="24"/>
          <w:szCs w:val="24"/>
        </w:rPr>
        <w:t xml:space="preserve"> input to </w:t>
      </w:r>
      <w:r w:rsidR="001C542D">
        <w:rPr>
          <w:sz w:val="24"/>
          <w:szCs w:val="24"/>
        </w:rPr>
        <w:t xml:space="preserve">the </w:t>
      </w:r>
      <w:r w:rsidR="000500DE">
        <w:rPr>
          <w:sz w:val="24"/>
          <w:szCs w:val="24"/>
        </w:rPr>
        <w:t>Executive Vice President</w:t>
      </w:r>
      <w:r w:rsidR="000D2A86" w:rsidRPr="000500DE">
        <w:rPr>
          <w:sz w:val="24"/>
          <w:szCs w:val="24"/>
        </w:rPr>
        <w:t xml:space="preserve">, </w:t>
      </w:r>
      <w:r w:rsidR="0064556F" w:rsidRPr="000500DE">
        <w:rPr>
          <w:sz w:val="24"/>
          <w:szCs w:val="24"/>
        </w:rPr>
        <w:t xml:space="preserve">the Executive Vice Dean </w:t>
      </w:r>
      <w:r w:rsidR="000D2A86" w:rsidRPr="000500DE">
        <w:rPr>
          <w:sz w:val="24"/>
          <w:szCs w:val="24"/>
        </w:rPr>
        <w:t xml:space="preserve">and </w:t>
      </w:r>
      <w:r w:rsidR="0064556F" w:rsidRPr="000500DE">
        <w:rPr>
          <w:sz w:val="24"/>
          <w:szCs w:val="24"/>
        </w:rPr>
        <w:t xml:space="preserve">the </w:t>
      </w:r>
      <w:r w:rsidR="000D2A86" w:rsidRPr="000500DE">
        <w:rPr>
          <w:sz w:val="24"/>
          <w:szCs w:val="24"/>
        </w:rPr>
        <w:t xml:space="preserve">Chair of PTC on </w:t>
      </w:r>
      <w:r w:rsidR="005836FB" w:rsidRPr="000500DE">
        <w:rPr>
          <w:sz w:val="24"/>
          <w:szCs w:val="24"/>
        </w:rPr>
        <w:t xml:space="preserve"> the </w:t>
      </w:r>
      <w:r w:rsidR="000D2A86" w:rsidRPr="000500DE">
        <w:rPr>
          <w:sz w:val="24"/>
          <w:szCs w:val="24"/>
        </w:rPr>
        <w:t>witnesses to appear before the PTC</w:t>
      </w:r>
      <w:r w:rsidR="005836FB" w:rsidRPr="000500DE">
        <w:rPr>
          <w:sz w:val="24"/>
          <w:szCs w:val="24"/>
        </w:rPr>
        <w:t xml:space="preserve">; 8) provide other input to </w:t>
      </w:r>
      <w:r w:rsidR="0064556F" w:rsidRPr="000500DE">
        <w:rPr>
          <w:sz w:val="24"/>
          <w:szCs w:val="24"/>
        </w:rPr>
        <w:t xml:space="preserve">the </w:t>
      </w:r>
      <w:r w:rsidR="001C542D">
        <w:rPr>
          <w:sz w:val="24"/>
          <w:szCs w:val="24"/>
        </w:rPr>
        <w:t xml:space="preserve">Executive </w:t>
      </w:r>
      <w:r w:rsidR="0064556F" w:rsidRPr="000500DE">
        <w:rPr>
          <w:sz w:val="24"/>
          <w:szCs w:val="24"/>
        </w:rPr>
        <w:t xml:space="preserve">Vice President, the Executive Vice Dean </w:t>
      </w:r>
      <w:r w:rsidR="005836FB" w:rsidRPr="000500DE">
        <w:rPr>
          <w:sz w:val="24"/>
          <w:szCs w:val="24"/>
        </w:rPr>
        <w:t>and Chair of the PTC as needed; 9) attend the reviews within their divisions as an observer, without vote and with voice confined to procedural issues or responses to questions by the PTC; 9) assist</w:t>
      </w:r>
      <w:r w:rsidR="00F66864" w:rsidRPr="000500DE">
        <w:rPr>
          <w:sz w:val="24"/>
          <w:szCs w:val="24"/>
        </w:rPr>
        <w:t xml:space="preserve"> </w:t>
      </w:r>
      <w:r w:rsidR="0064556F" w:rsidRPr="000500DE">
        <w:rPr>
          <w:sz w:val="24"/>
          <w:szCs w:val="24"/>
        </w:rPr>
        <w:t xml:space="preserve">the Executive Vice </w:t>
      </w:r>
      <w:r w:rsidR="008D137C">
        <w:rPr>
          <w:sz w:val="24"/>
          <w:szCs w:val="24"/>
        </w:rPr>
        <w:t>President</w:t>
      </w:r>
      <w:r w:rsidR="0064556F" w:rsidRPr="000500DE">
        <w:rPr>
          <w:sz w:val="24"/>
          <w:szCs w:val="24"/>
        </w:rPr>
        <w:t xml:space="preserve"> </w:t>
      </w:r>
      <w:r w:rsidR="00F66864" w:rsidRPr="000500DE">
        <w:rPr>
          <w:sz w:val="24"/>
          <w:szCs w:val="24"/>
        </w:rPr>
        <w:t>in draft</w:t>
      </w:r>
      <w:r w:rsidR="0064556F" w:rsidRPr="000500DE">
        <w:rPr>
          <w:sz w:val="24"/>
          <w:szCs w:val="24"/>
        </w:rPr>
        <w:t>ing the</w:t>
      </w:r>
      <w:r w:rsidR="00F66864" w:rsidRPr="000500DE">
        <w:rPr>
          <w:sz w:val="24"/>
          <w:szCs w:val="24"/>
        </w:rPr>
        <w:t xml:space="preserve"> letter that goes </w:t>
      </w:r>
      <w:r w:rsidR="0064556F" w:rsidRPr="000500DE">
        <w:rPr>
          <w:sz w:val="24"/>
          <w:szCs w:val="24"/>
        </w:rPr>
        <w:t xml:space="preserve">the </w:t>
      </w:r>
      <w:r w:rsidR="00F66864" w:rsidRPr="000500DE">
        <w:rPr>
          <w:sz w:val="24"/>
          <w:szCs w:val="24"/>
        </w:rPr>
        <w:t xml:space="preserve">Provost with </w:t>
      </w:r>
      <w:r w:rsidR="0064556F" w:rsidRPr="000500DE">
        <w:rPr>
          <w:sz w:val="24"/>
          <w:szCs w:val="24"/>
        </w:rPr>
        <w:t xml:space="preserve">the </w:t>
      </w:r>
      <w:r w:rsidR="00F66864" w:rsidRPr="000500DE">
        <w:rPr>
          <w:sz w:val="24"/>
          <w:szCs w:val="24"/>
        </w:rPr>
        <w:t>dossiers of successful candidates.</w:t>
      </w:r>
    </w:p>
    <w:p w:rsidR="004A28FA" w:rsidRPr="00525E92" w:rsidRDefault="004A28FA" w:rsidP="007A4C4B">
      <w:pPr>
        <w:rPr>
          <w:sz w:val="24"/>
          <w:szCs w:val="24"/>
        </w:rPr>
      </w:pPr>
      <w:r w:rsidRPr="00525E92">
        <w:rPr>
          <w:b/>
          <w:sz w:val="24"/>
          <w:szCs w:val="24"/>
        </w:rPr>
        <w:t>Scheduling of the Meetings of the Promotion and Tenure Committee</w:t>
      </w:r>
    </w:p>
    <w:p w:rsidR="004A28FA" w:rsidRPr="000500DE" w:rsidRDefault="004A28FA" w:rsidP="007A4C4B">
      <w:pPr>
        <w:rPr>
          <w:sz w:val="24"/>
          <w:szCs w:val="24"/>
        </w:rPr>
      </w:pPr>
      <w:r w:rsidRPr="000500DE">
        <w:rPr>
          <w:sz w:val="24"/>
          <w:szCs w:val="24"/>
        </w:rPr>
        <w:t xml:space="preserve">The </w:t>
      </w:r>
      <w:r w:rsidR="000F1B17">
        <w:rPr>
          <w:sz w:val="24"/>
          <w:szCs w:val="24"/>
        </w:rPr>
        <w:t>Assistant Director</w:t>
      </w:r>
      <w:r w:rsidR="00983ABC" w:rsidRPr="000500DE">
        <w:rPr>
          <w:sz w:val="24"/>
          <w:szCs w:val="24"/>
        </w:rPr>
        <w:t xml:space="preserve"> for Academic Affairs</w:t>
      </w:r>
      <w:r w:rsidRPr="000500DE">
        <w:rPr>
          <w:sz w:val="24"/>
          <w:szCs w:val="24"/>
        </w:rPr>
        <w:t xml:space="preserve"> schedule</w:t>
      </w:r>
      <w:r w:rsidR="006E555A" w:rsidRPr="000500DE">
        <w:rPr>
          <w:sz w:val="24"/>
          <w:szCs w:val="24"/>
        </w:rPr>
        <w:t>s</w:t>
      </w:r>
      <w:r w:rsidRPr="000500DE">
        <w:rPr>
          <w:sz w:val="24"/>
          <w:szCs w:val="24"/>
        </w:rPr>
        <w:t xml:space="preserve"> regular standing meetings of the PTC i</w:t>
      </w:r>
      <w:r w:rsidR="00D3559C" w:rsidRPr="000500DE">
        <w:rPr>
          <w:sz w:val="24"/>
          <w:szCs w:val="24"/>
        </w:rPr>
        <w:t xml:space="preserve">n advance of the fall semester. </w:t>
      </w:r>
      <w:r w:rsidR="008522DA" w:rsidRPr="000500DE">
        <w:rPr>
          <w:sz w:val="24"/>
          <w:szCs w:val="24"/>
        </w:rPr>
        <w:t xml:space="preserve">The PTC </w:t>
      </w:r>
      <w:r w:rsidR="00B2146C" w:rsidRPr="000500DE">
        <w:rPr>
          <w:sz w:val="24"/>
          <w:szCs w:val="24"/>
        </w:rPr>
        <w:t>meet</w:t>
      </w:r>
      <w:r w:rsidR="008522DA" w:rsidRPr="000500DE">
        <w:rPr>
          <w:sz w:val="24"/>
          <w:szCs w:val="24"/>
        </w:rPr>
        <w:t>s</w:t>
      </w:r>
      <w:r w:rsidR="00B2146C" w:rsidRPr="000500DE">
        <w:rPr>
          <w:sz w:val="24"/>
          <w:szCs w:val="24"/>
        </w:rPr>
        <w:t xml:space="preserve"> </w:t>
      </w:r>
      <w:r w:rsidR="008522DA" w:rsidRPr="000500DE">
        <w:rPr>
          <w:sz w:val="24"/>
          <w:szCs w:val="24"/>
        </w:rPr>
        <w:t>at regular intervals from September through May</w:t>
      </w:r>
      <w:r w:rsidR="00B2146C" w:rsidRPr="000500DE">
        <w:rPr>
          <w:sz w:val="24"/>
          <w:szCs w:val="24"/>
        </w:rPr>
        <w:t xml:space="preserve">. The </w:t>
      </w:r>
      <w:r w:rsidR="005C083A" w:rsidRPr="000500DE">
        <w:rPr>
          <w:sz w:val="24"/>
          <w:szCs w:val="24"/>
        </w:rPr>
        <w:t>PTC</w:t>
      </w:r>
      <w:r w:rsidR="00B2146C" w:rsidRPr="000500DE">
        <w:rPr>
          <w:sz w:val="24"/>
          <w:szCs w:val="24"/>
        </w:rPr>
        <w:t xml:space="preserve"> chair and the Executive Vice President will establish the committee’s calendar of work and set agendas for each meeting.</w:t>
      </w:r>
    </w:p>
    <w:p w:rsidR="0009752B" w:rsidRPr="000500DE" w:rsidRDefault="004B2146" w:rsidP="0096394B">
      <w:pPr>
        <w:rPr>
          <w:sz w:val="24"/>
          <w:szCs w:val="24"/>
        </w:rPr>
      </w:pPr>
      <w:r w:rsidRPr="000500DE">
        <w:rPr>
          <w:sz w:val="24"/>
          <w:szCs w:val="24"/>
        </w:rPr>
        <w:t xml:space="preserve">To ensure that the </w:t>
      </w:r>
      <w:r w:rsidR="0096394B" w:rsidRPr="000500DE">
        <w:rPr>
          <w:sz w:val="24"/>
          <w:szCs w:val="24"/>
        </w:rPr>
        <w:t xml:space="preserve">PTC </w:t>
      </w:r>
      <w:r w:rsidR="005C083A" w:rsidRPr="000500DE">
        <w:rPr>
          <w:sz w:val="24"/>
          <w:szCs w:val="24"/>
        </w:rPr>
        <w:t>has adequate time to prepare</w:t>
      </w:r>
      <w:r w:rsidR="00447BB8" w:rsidRPr="000500DE">
        <w:rPr>
          <w:sz w:val="24"/>
          <w:szCs w:val="24"/>
        </w:rPr>
        <w:t xml:space="preserve">, the </w:t>
      </w:r>
      <w:r w:rsidR="000F1B17">
        <w:rPr>
          <w:sz w:val="24"/>
          <w:szCs w:val="24"/>
        </w:rPr>
        <w:t>Assistant Director</w:t>
      </w:r>
      <w:r w:rsidR="00983ABC" w:rsidRPr="000500DE">
        <w:rPr>
          <w:sz w:val="24"/>
          <w:szCs w:val="24"/>
        </w:rPr>
        <w:t xml:space="preserve"> for Academic Affairs</w:t>
      </w:r>
      <w:r w:rsidRPr="000500DE">
        <w:rPr>
          <w:sz w:val="24"/>
          <w:szCs w:val="24"/>
        </w:rPr>
        <w:t xml:space="preserve"> normally does not start to schedule the review</w:t>
      </w:r>
      <w:r w:rsidR="00447BB8" w:rsidRPr="000500DE">
        <w:rPr>
          <w:sz w:val="24"/>
          <w:szCs w:val="24"/>
        </w:rPr>
        <w:t xml:space="preserve"> until the </w:t>
      </w:r>
      <w:r w:rsidR="001C3176" w:rsidRPr="000500DE">
        <w:rPr>
          <w:sz w:val="24"/>
          <w:szCs w:val="24"/>
        </w:rPr>
        <w:t xml:space="preserve">review panel </w:t>
      </w:r>
      <w:r w:rsidR="00447BB8" w:rsidRPr="000500DE">
        <w:rPr>
          <w:sz w:val="24"/>
          <w:szCs w:val="24"/>
        </w:rPr>
        <w:t>ha</w:t>
      </w:r>
      <w:r w:rsidR="001C3176" w:rsidRPr="000500DE">
        <w:rPr>
          <w:sz w:val="24"/>
          <w:szCs w:val="24"/>
        </w:rPr>
        <w:t>s</w:t>
      </w:r>
      <w:r w:rsidR="00447BB8" w:rsidRPr="000500DE">
        <w:rPr>
          <w:sz w:val="24"/>
          <w:szCs w:val="24"/>
        </w:rPr>
        <w:t xml:space="preserve"> received the candidate’s dossier</w:t>
      </w:r>
      <w:r w:rsidR="0096394B" w:rsidRPr="000500DE">
        <w:rPr>
          <w:sz w:val="24"/>
          <w:szCs w:val="24"/>
        </w:rPr>
        <w:t>.</w:t>
      </w:r>
      <w:r w:rsidR="00447BB8" w:rsidRPr="000500DE">
        <w:rPr>
          <w:sz w:val="24"/>
          <w:szCs w:val="24"/>
        </w:rPr>
        <w:t xml:space="preserve"> </w:t>
      </w:r>
    </w:p>
    <w:p w:rsidR="006E555A" w:rsidRPr="000500DE" w:rsidRDefault="0009752B" w:rsidP="007A4C4B">
      <w:pPr>
        <w:rPr>
          <w:sz w:val="24"/>
          <w:szCs w:val="24"/>
        </w:rPr>
      </w:pPr>
      <w:r w:rsidRPr="000500DE">
        <w:rPr>
          <w:sz w:val="24"/>
          <w:szCs w:val="24"/>
        </w:rPr>
        <w:lastRenderedPageBreak/>
        <w:t xml:space="preserve">While the </w:t>
      </w:r>
      <w:r w:rsidR="000F1B17">
        <w:rPr>
          <w:sz w:val="24"/>
          <w:szCs w:val="24"/>
        </w:rPr>
        <w:t>Assistant Director</w:t>
      </w:r>
      <w:r w:rsidR="00983ABC" w:rsidRPr="000500DE">
        <w:rPr>
          <w:sz w:val="24"/>
          <w:szCs w:val="24"/>
        </w:rPr>
        <w:t xml:space="preserve"> for Academic Affairs</w:t>
      </w:r>
      <w:r w:rsidRPr="000500DE">
        <w:rPr>
          <w:sz w:val="24"/>
          <w:szCs w:val="24"/>
        </w:rPr>
        <w:t xml:space="preserve"> makes every effort to find a time that is convenient for everyone who may participate in the review to attend, it is not always possible to avoid conflicts with other responsibilities. Since tenure is of the highest importance to the University</w:t>
      </w:r>
      <w:r w:rsidR="001C542D">
        <w:rPr>
          <w:sz w:val="24"/>
          <w:szCs w:val="24"/>
        </w:rPr>
        <w:t>,</w:t>
      </w:r>
      <w:r w:rsidRPr="000500DE">
        <w:rPr>
          <w:sz w:val="24"/>
          <w:szCs w:val="24"/>
        </w:rPr>
        <w:t xml:space="preserve"> it may be necessary to ask participants to reschedule other commitments so that they are available to attend a committee meeting.</w:t>
      </w:r>
      <w:r w:rsidR="00F26695" w:rsidRPr="000500DE">
        <w:rPr>
          <w:sz w:val="24"/>
          <w:szCs w:val="24"/>
        </w:rPr>
        <w:t xml:space="preserve"> PTC meetings take precedence over all other committee assignments and all administrative duties within the </w:t>
      </w:r>
      <w:r w:rsidR="00D3559C" w:rsidRPr="000500DE">
        <w:rPr>
          <w:sz w:val="24"/>
          <w:szCs w:val="24"/>
        </w:rPr>
        <w:t>University</w:t>
      </w:r>
      <w:r w:rsidR="00F26695" w:rsidRPr="000500DE">
        <w:rPr>
          <w:sz w:val="24"/>
          <w:szCs w:val="24"/>
        </w:rPr>
        <w:t xml:space="preserve">. In some cases, it may also be necessary to ask participants to rearrange </w:t>
      </w:r>
      <w:r w:rsidR="00983ABC" w:rsidRPr="000500DE">
        <w:rPr>
          <w:sz w:val="24"/>
          <w:szCs w:val="24"/>
        </w:rPr>
        <w:t>meetings</w:t>
      </w:r>
      <w:r w:rsidR="00E0172A">
        <w:rPr>
          <w:sz w:val="24"/>
          <w:szCs w:val="24"/>
        </w:rPr>
        <w:t xml:space="preserve"> with students</w:t>
      </w:r>
      <w:r w:rsidR="00F26695" w:rsidRPr="000500DE">
        <w:rPr>
          <w:sz w:val="24"/>
          <w:szCs w:val="24"/>
        </w:rPr>
        <w:t xml:space="preserve"> and</w:t>
      </w:r>
      <w:r w:rsidR="00E0172A">
        <w:rPr>
          <w:sz w:val="24"/>
          <w:szCs w:val="24"/>
        </w:rPr>
        <w:t xml:space="preserve"> occasionally</w:t>
      </w:r>
      <w:r w:rsidR="00FF7BD7" w:rsidRPr="000500DE">
        <w:rPr>
          <w:sz w:val="24"/>
          <w:szCs w:val="24"/>
        </w:rPr>
        <w:t xml:space="preserve"> </w:t>
      </w:r>
      <w:r w:rsidR="00F26695" w:rsidRPr="000500DE">
        <w:rPr>
          <w:sz w:val="24"/>
          <w:szCs w:val="24"/>
        </w:rPr>
        <w:t xml:space="preserve">classes in order to provide sufficient time for the committee’s deliberations. </w:t>
      </w:r>
    </w:p>
    <w:p w:rsidR="0009752B" w:rsidRPr="000500DE" w:rsidRDefault="0009752B" w:rsidP="007A4C4B">
      <w:pPr>
        <w:rPr>
          <w:sz w:val="24"/>
          <w:szCs w:val="24"/>
        </w:rPr>
      </w:pPr>
      <w:r w:rsidRPr="000500DE">
        <w:rPr>
          <w:sz w:val="24"/>
          <w:szCs w:val="24"/>
        </w:rPr>
        <w:t>While every effort is made to accommodate the witnesses, it may be necessary to ask the dean or the chair</w:t>
      </w:r>
      <w:r w:rsidR="0013734B" w:rsidRPr="000500DE">
        <w:rPr>
          <w:sz w:val="24"/>
          <w:szCs w:val="24"/>
        </w:rPr>
        <w:t xml:space="preserve"> of the nominating unit for someone else to testify on behalf of the candidate</w:t>
      </w:r>
      <w:r w:rsidR="008D137C">
        <w:rPr>
          <w:sz w:val="24"/>
          <w:szCs w:val="24"/>
        </w:rPr>
        <w:t>,</w:t>
      </w:r>
      <w:r w:rsidR="0013734B" w:rsidRPr="000500DE">
        <w:rPr>
          <w:sz w:val="24"/>
          <w:szCs w:val="24"/>
        </w:rPr>
        <w:t xml:space="preserve"> or to proceed with the committee meeting wit</w:t>
      </w:r>
      <w:r w:rsidR="00B70B9C" w:rsidRPr="000500DE">
        <w:rPr>
          <w:sz w:val="24"/>
          <w:szCs w:val="24"/>
        </w:rPr>
        <w:t>hout an</w:t>
      </w:r>
      <w:r w:rsidR="0013734B" w:rsidRPr="000500DE">
        <w:rPr>
          <w:sz w:val="24"/>
          <w:szCs w:val="24"/>
        </w:rPr>
        <w:t xml:space="preserve"> individual </w:t>
      </w:r>
      <w:r w:rsidR="00E36549" w:rsidRPr="000500DE">
        <w:rPr>
          <w:sz w:val="24"/>
          <w:szCs w:val="24"/>
        </w:rPr>
        <w:t xml:space="preserve">who cannot attend. If the dean </w:t>
      </w:r>
      <w:r w:rsidR="00A64E06" w:rsidRPr="000500DE">
        <w:rPr>
          <w:sz w:val="24"/>
          <w:szCs w:val="24"/>
        </w:rPr>
        <w:t xml:space="preserve">or </w:t>
      </w:r>
      <w:r w:rsidR="00E36549" w:rsidRPr="000500DE">
        <w:rPr>
          <w:sz w:val="24"/>
          <w:szCs w:val="24"/>
        </w:rPr>
        <w:t xml:space="preserve">the chair considers both of these alternatives detrimental to the </w:t>
      </w:r>
      <w:r w:rsidR="00FF7BD7" w:rsidRPr="000500DE">
        <w:rPr>
          <w:sz w:val="24"/>
          <w:szCs w:val="24"/>
        </w:rPr>
        <w:t>nominee’s case</w:t>
      </w:r>
      <w:r w:rsidR="00E36549" w:rsidRPr="000500DE">
        <w:rPr>
          <w:sz w:val="24"/>
          <w:szCs w:val="24"/>
        </w:rPr>
        <w:t xml:space="preserve">, he or she may ask the </w:t>
      </w:r>
      <w:r w:rsidR="00FF7BD7" w:rsidRPr="000500DE">
        <w:rPr>
          <w:sz w:val="24"/>
          <w:szCs w:val="24"/>
        </w:rPr>
        <w:t xml:space="preserve">Executive </w:t>
      </w:r>
      <w:r w:rsidR="00E36549" w:rsidRPr="000500DE">
        <w:rPr>
          <w:sz w:val="24"/>
          <w:szCs w:val="24"/>
        </w:rPr>
        <w:t>Vice Presiden</w:t>
      </w:r>
      <w:r w:rsidR="00FF7BD7" w:rsidRPr="000500DE">
        <w:rPr>
          <w:sz w:val="24"/>
          <w:szCs w:val="24"/>
        </w:rPr>
        <w:t>t</w:t>
      </w:r>
      <w:r w:rsidR="00E36549" w:rsidRPr="000500DE">
        <w:rPr>
          <w:sz w:val="24"/>
          <w:szCs w:val="24"/>
        </w:rPr>
        <w:t xml:space="preserve"> to delay the meeting to a time when the witness is available.</w:t>
      </w:r>
    </w:p>
    <w:p w:rsidR="00344B5B" w:rsidRPr="000500DE" w:rsidRDefault="00F26695" w:rsidP="00F26695">
      <w:pPr>
        <w:rPr>
          <w:sz w:val="24"/>
          <w:szCs w:val="24"/>
        </w:rPr>
      </w:pPr>
      <w:r w:rsidRPr="000500DE">
        <w:rPr>
          <w:sz w:val="24"/>
          <w:szCs w:val="24"/>
        </w:rPr>
        <w:t xml:space="preserve">It is not always possible to arrange for all members of the </w:t>
      </w:r>
      <w:r w:rsidR="0064556F" w:rsidRPr="000500DE">
        <w:rPr>
          <w:sz w:val="24"/>
          <w:szCs w:val="24"/>
        </w:rPr>
        <w:t xml:space="preserve">review panel </w:t>
      </w:r>
      <w:r w:rsidRPr="000500DE">
        <w:rPr>
          <w:sz w:val="24"/>
          <w:szCs w:val="24"/>
        </w:rPr>
        <w:t xml:space="preserve">to attend the meeting in person. The Executive Vice President may, therefore, choose to have members participate by videoconferencing or by telephone. </w:t>
      </w:r>
      <w:r w:rsidR="007F7613" w:rsidRPr="000500DE">
        <w:rPr>
          <w:sz w:val="24"/>
          <w:szCs w:val="24"/>
        </w:rPr>
        <w:t xml:space="preserve"> </w:t>
      </w:r>
    </w:p>
    <w:p w:rsidR="00BA0FFA" w:rsidRPr="000500DE" w:rsidRDefault="00344B5B" w:rsidP="00F26695">
      <w:pPr>
        <w:rPr>
          <w:sz w:val="24"/>
          <w:szCs w:val="24"/>
        </w:rPr>
      </w:pPr>
      <w:r w:rsidRPr="000500DE">
        <w:rPr>
          <w:sz w:val="24"/>
          <w:szCs w:val="24"/>
        </w:rPr>
        <w:t>All</w:t>
      </w:r>
      <w:r w:rsidR="007F7613" w:rsidRPr="000500DE">
        <w:rPr>
          <w:sz w:val="24"/>
          <w:szCs w:val="24"/>
        </w:rPr>
        <w:t xml:space="preserve"> PTC members </w:t>
      </w:r>
      <w:r w:rsidRPr="000500DE">
        <w:rPr>
          <w:sz w:val="24"/>
          <w:szCs w:val="24"/>
        </w:rPr>
        <w:t xml:space="preserve">must </w:t>
      </w:r>
      <w:r w:rsidR="007F7613" w:rsidRPr="000500DE">
        <w:rPr>
          <w:sz w:val="24"/>
          <w:szCs w:val="24"/>
        </w:rPr>
        <w:t xml:space="preserve">attend </w:t>
      </w:r>
      <w:r w:rsidR="00C26779" w:rsidRPr="000500DE">
        <w:rPr>
          <w:sz w:val="24"/>
          <w:szCs w:val="24"/>
        </w:rPr>
        <w:t>the first four</w:t>
      </w:r>
      <w:r w:rsidR="008D137C">
        <w:rPr>
          <w:sz w:val="24"/>
          <w:szCs w:val="24"/>
        </w:rPr>
        <w:t xml:space="preserve"> PTC meetings of the year and</w:t>
      </w:r>
      <w:r w:rsidR="00DA1BD0">
        <w:rPr>
          <w:sz w:val="24"/>
          <w:szCs w:val="24"/>
        </w:rPr>
        <w:t xml:space="preserve">, </w:t>
      </w:r>
      <w:r w:rsidR="00C26779" w:rsidRPr="000500DE">
        <w:rPr>
          <w:sz w:val="24"/>
          <w:szCs w:val="24"/>
        </w:rPr>
        <w:t xml:space="preserve">thereafter, </w:t>
      </w:r>
      <w:r w:rsidR="007F7613" w:rsidRPr="000500DE">
        <w:rPr>
          <w:sz w:val="24"/>
          <w:szCs w:val="24"/>
        </w:rPr>
        <w:t xml:space="preserve">all meetings </w:t>
      </w:r>
      <w:r w:rsidR="00C26779" w:rsidRPr="000500DE">
        <w:rPr>
          <w:sz w:val="24"/>
          <w:szCs w:val="24"/>
        </w:rPr>
        <w:t xml:space="preserve">of the tenure reviews to which they are assigned as review panel members </w:t>
      </w:r>
      <w:r w:rsidR="007F7613" w:rsidRPr="000500DE">
        <w:rPr>
          <w:sz w:val="24"/>
          <w:szCs w:val="24"/>
        </w:rPr>
        <w:t xml:space="preserve">(by phone or videoconference where necessary) for the maintenance and communication of uniform standards.  No </w:t>
      </w:r>
      <w:r w:rsidR="00C26779" w:rsidRPr="000500DE">
        <w:rPr>
          <w:sz w:val="24"/>
          <w:szCs w:val="24"/>
        </w:rPr>
        <w:t>review</w:t>
      </w:r>
      <w:r w:rsidR="007F7613" w:rsidRPr="000500DE">
        <w:rPr>
          <w:sz w:val="24"/>
          <w:szCs w:val="24"/>
        </w:rPr>
        <w:t xml:space="preserve"> may </w:t>
      </w:r>
      <w:r w:rsidR="00C26779" w:rsidRPr="000500DE">
        <w:rPr>
          <w:sz w:val="24"/>
          <w:szCs w:val="24"/>
        </w:rPr>
        <w:t xml:space="preserve">occur </w:t>
      </w:r>
      <w:r w:rsidR="007F7613" w:rsidRPr="000500DE">
        <w:rPr>
          <w:sz w:val="24"/>
          <w:szCs w:val="24"/>
        </w:rPr>
        <w:t xml:space="preserve">without </w:t>
      </w:r>
      <w:r w:rsidR="00C26779" w:rsidRPr="000500DE">
        <w:rPr>
          <w:sz w:val="24"/>
          <w:szCs w:val="24"/>
        </w:rPr>
        <w:t xml:space="preserve">the participation of </w:t>
      </w:r>
      <w:r w:rsidR="00E0172A">
        <w:rPr>
          <w:sz w:val="24"/>
          <w:szCs w:val="24"/>
        </w:rPr>
        <w:t xml:space="preserve">all </w:t>
      </w:r>
      <w:r w:rsidR="00C26779" w:rsidRPr="000500DE">
        <w:rPr>
          <w:sz w:val="24"/>
          <w:szCs w:val="24"/>
        </w:rPr>
        <w:t>the review panel members assigned to it</w:t>
      </w:r>
      <w:r w:rsidR="00B05891" w:rsidRPr="000500DE">
        <w:rPr>
          <w:sz w:val="24"/>
          <w:szCs w:val="24"/>
        </w:rPr>
        <w:t>.</w:t>
      </w:r>
    </w:p>
    <w:p w:rsidR="00D3559C" w:rsidRPr="00525E92" w:rsidRDefault="00D3559C" w:rsidP="007A4C4B">
      <w:pPr>
        <w:rPr>
          <w:sz w:val="24"/>
          <w:szCs w:val="24"/>
        </w:rPr>
      </w:pPr>
      <w:r w:rsidRPr="000500DE">
        <w:rPr>
          <w:sz w:val="24"/>
          <w:szCs w:val="24"/>
        </w:rPr>
        <w:t xml:space="preserve">Tenure reviews and completion of tenure reviews will not be delayed due to the unavailability of </w:t>
      </w:r>
      <w:r w:rsidR="00E36549" w:rsidRPr="000500DE">
        <w:rPr>
          <w:sz w:val="24"/>
          <w:szCs w:val="24"/>
        </w:rPr>
        <w:t>administrators who have the right to attend as observer</w:t>
      </w:r>
      <w:r w:rsidRPr="000500DE">
        <w:rPr>
          <w:sz w:val="24"/>
          <w:szCs w:val="24"/>
        </w:rPr>
        <w:t>s.</w:t>
      </w:r>
    </w:p>
    <w:p w:rsidR="00AC6292" w:rsidRPr="00525E92" w:rsidRDefault="002B1933" w:rsidP="007A4C4B">
      <w:pPr>
        <w:rPr>
          <w:b/>
          <w:sz w:val="24"/>
          <w:szCs w:val="24"/>
        </w:rPr>
      </w:pPr>
      <w:r>
        <w:rPr>
          <w:b/>
          <w:sz w:val="24"/>
          <w:szCs w:val="24"/>
        </w:rPr>
        <w:t xml:space="preserve">Tenure </w:t>
      </w:r>
      <w:r w:rsidR="005927C1">
        <w:rPr>
          <w:b/>
          <w:sz w:val="24"/>
          <w:szCs w:val="24"/>
        </w:rPr>
        <w:t>Review</w:t>
      </w:r>
    </w:p>
    <w:p w:rsidR="00D505B6" w:rsidRPr="000500DE" w:rsidRDefault="00D505B6" w:rsidP="007A4C4B">
      <w:pPr>
        <w:rPr>
          <w:sz w:val="24"/>
          <w:szCs w:val="24"/>
        </w:rPr>
      </w:pPr>
      <w:r w:rsidRPr="000500DE">
        <w:rPr>
          <w:sz w:val="24"/>
          <w:szCs w:val="24"/>
        </w:rPr>
        <w:t xml:space="preserve">It is the responsibility of </w:t>
      </w:r>
      <w:r w:rsidR="002B1933" w:rsidRPr="000500DE">
        <w:rPr>
          <w:sz w:val="24"/>
          <w:szCs w:val="24"/>
        </w:rPr>
        <w:t>each review panel</w:t>
      </w:r>
      <w:r w:rsidRPr="000500DE">
        <w:rPr>
          <w:sz w:val="24"/>
          <w:szCs w:val="24"/>
        </w:rPr>
        <w:t xml:space="preserve">, working under the guidance of </w:t>
      </w:r>
      <w:r w:rsidR="00E0172A">
        <w:rPr>
          <w:sz w:val="24"/>
          <w:szCs w:val="24"/>
        </w:rPr>
        <w:t>the chair of the PTC</w:t>
      </w:r>
      <w:r w:rsidRPr="000500DE">
        <w:rPr>
          <w:sz w:val="24"/>
          <w:szCs w:val="24"/>
        </w:rPr>
        <w:t xml:space="preserve">, to conduct a thorough and independent review of the nomination under consideration. The </w:t>
      </w:r>
      <w:r w:rsidR="002B1933" w:rsidRPr="000500DE">
        <w:rPr>
          <w:sz w:val="24"/>
          <w:szCs w:val="24"/>
        </w:rPr>
        <w:t>review panel</w:t>
      </w:r>
      <w:r w:rsidRPr="000500DE">
        <w:rPr>
          <w:sz w:val="24"/>
          <w:szCs w:val="24"/>
        </w:rPr>
        <w:t xml:space="preserve"> should not feel pressured by external circumstances to come to a hasty judgment. At the same time, fairness to the candidate and the deadline for forwarding the case to the </w:t>
      </w:r>
      <w:r w:rsidR="00A8563E" w:rsidRPr="000500DE">
        <w:rPr>
          <w:sz w:val="24"/>
          <w:szCs w:val="24"/>
        </w:rPr>
        <w:t>Tenure Review Advisory Committee (TRAC)</w:t>
      </w:r>
      <w:r w:rsidRPr="000500DE">
        <w:rPr>
          <w:sz w:val="24"/>
          <w:szCs w:val="24"/>
        </w:rPr>
        <w:t xml:space="preserve"> require that the </w:t>
      </w:r>
      <w:r w:rsidR="002B1933" w:rsidRPr="000500DE">
        <w:rPr>
          <w:sz w:val="24"/>
          <w:szCs w:val="24"/>
        </w:rPr>
        <w:t>review panel</w:t>
      </w:r>
      <w:r w:rsidRPr="000500DE">
        <w:rPr>
          <w:sz w:val="24"/>
          <w:szCs w:val="24"/>
        </w:rPr>
        <w:t xml:space="preserve"> complete its review and reach its decision as soon as it responsibly can. </w:t>
      </w:r>
    </w:p>
    <w:p w:rsidR="00D505B6" w:rsidRPr="000500DE" w:rsidRDefault="00D505B6" w:rsidP="007A4C4B">
      <w:pPr>
        <w:rPr>
          <w:sz w:val="24"/>
          <w:szCs w:val="24"/>
        </w:rPr>
      </w:pPr>
      <w:r w:rsidRPr="000500DE">
        <w:rPr>
          <w:sz w:val="24"/>
          <w:szCs w:val="24"/>
        </w:rPr>
        <w:t xml:space="preserve">The work of the </w:t>
      </w:r>
      <w:r w:rsidR="002B1933" w:rsidRPr="000500DE">
        <w:rPr>
          <w:sz w:val="24"/>
          <w:szCs w:val="24"/>
        </w:rPr>
        <w:t xml:space="preserve">review panel </w:t>
      </w:r>
      <w:r w:rsidRPr="000500DE">
        <w:rPr>
          <w:sz w:val="24"/>
          <w:szCs w:val="24"/>
        </w:rPr>
        <w:t>begins with the careful review of the nominee’</w:t>
      </w:r>
      <w:r w:rsidR="006275D5" w:rsidRPr="000500DE">
        <w:rPr>
          <w:sz w:val="24"/>
          <w:szCs w:val="24"/>
        </w:rPr>
        <w:t xml:space="preserve">s dossier and the </w:t>
      </w:r>
      <w:r w:rsidR="0096394B" w:rsidRPr="000500DE">
        <w:rPr>
          <w:sz w:val="24"/>
          <w:szCs w:val="24"/>
        </w:rPr>
        <w:t>careful reading of the candidate’s scholarly work by</w:t>
      </w:r>
      <w:r w:rsidR="006275D5" w:rsidRPr="000500DE">
        <w:rPr>
          <w:sz w:val="24"/>
          <w:szCs w:val="24"/>
        </w:rPr>
        <w:t xml:space="preserve"> </w:t>
      </w:r>
      <w:r w:rsidR="0031344A">
        <w:rPr>
          <w:sz w:val="24"/>
          <w:szCs w:val="24"/>
        </w:rPr>
        <w:t>the subpanel</w:t>
      </w:r>
      <w:r w:rsidR="006275D5" w:rsidRPr="000500DE">
        <w:rPr>
          <w:sz w:val="24"/>
          <w:szCs w:val="24"/>
        </w:rPr>
        <w:t xml:space="preserve">. While referee evaluations provide the committee with the views of leading scholars in the nominee’s field, these cannot substitute for the </w:t>
      </w:r>
      <w:r w:rsidR="0031344A">
        <w:rPr>
          <w:sz w:val="24"/>
          <w:szCs w:val="24"/>
        </w:rPr>
        <w:t>sub</w:t>
      </w:r>
      <w:r w:rsidR="00762CAE">
        <w:rPr>
          <w:sz w:val="24"/>
          <w:szCs w:val="24"/>
        </w:rPr>
        <w:t>pane</w:t>
      </w:r>
      <w:r w:rsidR="0031344A">
        <w:rPr>
          <w:sz w:val="24"/>
          <w:szCs w:val="24"/>
        </w:rPr>
        <w:t>l</w:t>
      </w:r>
      <w:r w:rsidR="00762CAE" w:rsidRPr="000500DE">
        <w:rPr>
          <w:sz w:val="24"/>
          <w:szCs w:val="24"/>
        </w:rPr>
        <w:t xml:space="preserve">’s </w:t>
      </w:r>
      <w:r w:rsidR="006275D5" w:rsidRPr="000500DE">
        <w:rPr>
          <w:sz w:val="24"/>
          <w:szCs w:val="24"/>
        </w:rPr>
        <w:t>reasoned assessment of the quality of the nominee’s scholarship.</w:t>
      </w:r>
      <w:r w:rsidR="00FB5463" w:rsidRPr="000500DE">
        <w:rPr>
          <w:sz w:val="24"/>
          <w:szCs w:val="24"/>
        </w:rPr>
        <w:t xml:space="preserve"> </w:t>
      </w:r>
    </w:p>
    <w:p w:rsidR="00FB5463" w:rsidRPr="000500DE" w:rsidRDefault="00FB5463" w:rsidP="007A4C4B">
      <w:pPr>
        <w:rPr>
          <w:sz w:val="24"/>
          <w:szCs w:val="24"/>
        </w:rPr>
      </w:pPr>
      <w:r w:rsidRPr="000500DE">
        <w:rPr>
          <w:sz w:val="24"/>
          <w:szCs w:val="24"/>
        </w:rPr>
        <w:lastRenderedPageBreak/>
        <w:t xml:space="preserve">The </w:t>
      </w:r>
      <w:r w:rsidR="00652B64" w:rsidRPr="000500DE">
        <w:rPr>
          <w:sz w:val="24"/>
          <w:szCs w:val="24"/>
        </w:rPr>
        <w:t>chair</w:t>
      </w:r>
      <w:r w:rsidR="00B202F4" w:rsidRPr="000500DE">
        <w:rPr>
          <w:sz w:val="24"/>
          <w:szCs w:val="24"/>
        </w:rPr>
        <w:t>s</w:t>
      </w:r>
      <w:r w:rsidR="00652B64" w:rsidRPr="000500DE">
        <w:rPr>
          <w:sz w:val="24"/>
          <w:szCs w:val="24"/>
        </w:rPr>
        <w:t xml:space="preserve"> of the </w:t>
      </w:r>
      <w:r w:rsidR="00A8563E" w:rsidRPr="000500DE">
        <w:rPr>
          <w:sz w:val="24"/>
          <w:szCs w:val="24"/>
        </w:rPr>
        <w:t xml:space="preserve">PTC and the </w:t>
      </w:r>
      <w:r w:rsidR="0031344A" w:rsidRPr="000500DE">
        <w:rPr>
          <w:sz w:val="24"/>
          <w:szCs w:val="24"/>
        </w:rPr>
        <w:t>sub</w:t>
      </w:r>
      <w:r w:rsidR="0031344A">
        <w:rPr>
          <w:sz w:val="24"/>
          <w:szCs w:val="24"/>
        </w:rPr>
        <w:t>panel</w:t>
      </w:r>
      <w:r w:rsidR="0031344A" w:rsidRPr="000500DE">
        <w:rPr>
          <w:sz w:val="24"/>
          <w:szCs w:val="24"/>
        </w:rPr>
        <w:t xml:space="preserve"> </w:t>
      </w:r>
      <w:r w:rsidR="00A8563E" w:rsidRPr="000500DE">
        <w:rPr>
          <w:sz w:val="24"/>
          <w:szCs w:val="24"/>
        </w:rPr>
        <w:t xml:space="preserve">are </w:t>
      </w:r>
      <w:r w:rsidRPr="000500DE">
        <w:rPr>
          <w:sz w:val="24"/>
          <w:szCs w:val="24"/>
        </w:rPr>
        <w:t xml:space="preserve">responsible for ensuring that the dossier is sufficient to meet the </w:t>
      </w:r>
      <w:r w:rsidR="00B202F4" w:rsidRPr="000500DE">
        <w:rPr>
          <w:sz w:val="24"/>
          <w:szCs w:val="24"/>
        </w:rPr>
        <w:t>review panel</w:t>
      </w:r>
      <w:r w:rsidRPr="000500DE">
        <w:rPr>
          <w:sz w:val="24"/>
          <w:szCs w:val="24"/>
        </w:rPr>
        <w:t xml:space="preserve">’s needs. The chair </w:t>
      </w:r>
      <w:r w:rsidR="00B202F4" w:rsidRPr="000500DE">
        <w:rPr>
          <w:sz w:val="24"/>
          <w:szCs w:val="24"/>
        </w:rPr>
        <w:t xml:space="preserve">of the </w:t>
      </w:r>
      <w:r w:rsidR="0031344A" w:rsidRPr="000500DE">
        <w:rPr>
          <w:sz w:val="24"/>
          <w:szCs w:val="24"/>
        </w:rPr>
        <w:t>sub</w:t>
      </w:r>
      <w:r w:rsidR="0031344A">
        <w:rPr>
          <w:sz w:val="24"/>
          <w:szCs w:val="24"/>
        </w:rPr>
        <w:t>panel</w:t>
      </w:r>
      <w:r w:rsidR="0031344A" w:rsidRPr="000500DE">
        <w:rPr>
          <w:sz w:val="24"/>
          <w:szCs w:val="24"/>
        </w:rPr>
        <w:t xml:space="preserve"> </w:t>
      </w:r>
      <w:r w:rsidRPr="000500DE">
        <w:rPr>
          <w:sz w:val="24"/>
          <w:szCs w:val="24"/>
        </w:rPr>
        <w:t xml:space="preserve">is expected to consult with the rest of the </w:t>
      </w:r>
      <w:r w:rsidR="0031344A" w:rsidRPr="000500DE">
        <w:rPr>
          <w:sz w:val="24"/>
          <w:szCs w:val="24"/>
        </w:rPr>
        <w:t>sub</w:t>
      </w:r>
      <w:r w:rsidR="0031344A">
        <w:rPr>
          <w:sz w:val="24"/>
          <w:szCs w:val="24"/>
        </w:rPr>
        <w:t>panel</w:t>
      </w:r>
      <w:r w:rsidR="0031344A" w:rsidRPr="000500DE">
        <w:rPr>
          <w:sz w:val="24"/>
          <w:szCs w:val="24"/>
        </w:rPr>
        <w:t xml:space="preserve"> </w:t>
      </w:r>
      <w:r w:rsidR="008C3A6B" w:rsidRPr="000500DE">
        <w:rPr>
          <w:sz w:val="24"/>
          <w:szCs w:val="24"/>
        </w:rPr>
        <w:t xml:space="preserve">in advance </w:t>
      </w:r>
      <w:r w:rsidR="00B202F4" w:rsidRPr="000500DE">
        <w:rPr>
          <w:sz w:val="24"/>
          <w:szCs w:val="24"/>
        </w:rPr>
        <w:t>of the</w:t>
      </w:r>
      <w:r w:rsidR="008C3A6B" w:rsidRPr="000500DE">
        <w:rPr>
          <w:sz w:val="24"/>
          <w:szCs w:val="24"/>
        </w:rPr>
        <w:t xml:space="preserve"> meeting to determine whether further information</w:t>
      </w:r>
      <w:r w:rsidR="000500DE">
        <w:rPr>
          <w:sz w:val="24"/>
          <w:szCs w:val="24"/>
        </w:rPr>
        <w:t xml:space="preserve"> </w:t>
      </w:r>
      <w:r w:rsidR="008C3A6B" w:rsidRPr="000500DE">
        <w:rPr>
          <w:sz w:val="24"/>
          <w:szCs w:val="24"/>
        </w:rPr>
        <w:t>is needed and to alert each member to any concerns that other members might have about the nomination.</w:t>
      </w:r>
      <w:r w:rsidR="00477F4B" w:rsidRPr="000500DE">
        <w:rPr>
          <w:sz w:val="24"/>
          <w:szCs w:val="24"/>
        </w:rPr>
        <w:t xml:space="preserve"> </w:t>
      </w:r>
    </w:p>
    <w:p w:rsidR="00477F4B" w:rsidRPr="000500DE" w:rsidRDefault="00477F4B" w:rsidP="007A4C4B">
      <w:pPr>
        <w:rPr>
          <w:sz w:val="24"/>
          <w:szCs w:val="24"/>
        </w:rPr>
      </w:pPr>
      <w:r w:rsidRPr="000500DE">
        <w:rPr>
          <w:sz w:val="24"/>
          <w:szCs w:val="24"/>
        </w:rPr>
        <w:t xml:space="preserve">After evaluating the documentation presented by the nominating </w:t>
      </w:r>
      <w:r w:rsidR="00B57A9F" w:rsidRPr="000500DE">
        <w:rPr>
          <w:sz w:val="24"/>
          <w:szCs w:val="24"/>
        </w:rPr>
        <w:t>department</w:t>
      </w:r>
      <w:r w:rsidRPr="000500DE">
        <w:rPr>
          <w:sz w:val="24"/>
          <w:szCs w:val="24"/>
        </w:rPr>
        <w:t xml:space="preserve"> or </w:t>
      </w:r>
      <w:r w:rsidR="00B57A9F" w:rsidRPr="000500DE">
        <w:rPr>
          <w:sz w:val="24"/>
          <w:szCs w:val="24"/>
        </w:rPr>
        <w:t>school</w:t>
      </w:r>
      <w:r w:rsidR="00B202F4" w:rsidRPr="000500DE">
        <w:rPr>
          <w:sz w:val="24"/>
          <w:szCs w:val="24"/>
        </w:rPr>
        <w:t>, the review panel</w:t>
      </w:r>
      <w:r w:rsidRPr="000500DE">
        <w:rPr>
          <w:sz w:val="24"/>
          <w:szCs w:val="24"/>
        </w:rPr>
        <w:t xml:space="preserve"> may make any further inquiries it feels are necessary to ensure that it has sufficient information about the proposed appointment. For example, the </w:t>
      </w:r>
      <w:r w:rsidR="00B202F4" w:rsidRPr="000500DE">
        <w:rPr>
          <w:sz w:val="24"/>
          <w:szCs w:val="24"/>
        </w:rPr>
        <w:t>review panel</w:t>
      </w:r>
      <w:r w:rsidRPr="000500DE">
        <w:rPr>
          <w:sz w:val="24"/>
          <w:szCs w:val="24"/>
        </w:rPr>
        <w:t xml:space="preserve"> has the right to </w:t>
      </w:r>
      <w:r w:rsidR="00B2146C" w:rsidRPr="000500DE">
        <w:rPr>
          <w:sz w:val="24"/>
          <w:szCs w:val="24"/>
        </w:rPr>
        <w:t xml:space="preserve">request that </w:t>
      </w:r>
      <w:r w:rsidRPr="000500DE">
        <w:rPr>
          <w:sz w:val="24"/>
          <w:szCs w:val="24"/>
        </w:rPr>
        <w:t xml:space="preserve">the Executive </w:t>
      </w:r>
      <w:r w:rsidR="00BC41F9" w:rsidRPr="000500DE">
        <w:rPr>
          <w:sz w:val="24"/>
          <w:szCs w:val="24"/>
        </w:rPr>
        <w:t xml:space="preserve">Vice President solicit additional referee evaluations or </w:t>
      </w:r>
      <w:r w:rsidR="00DA1BD0">
        <w:rPr>
          <w:sz w:val="24"/>
          <w:szCs w:val="24"/>
        </w:rPr>
        <w:t xml:space="preserve">to </w:t>
      </w:r>
      <w:r w:rsidR="00BC41F9" w:rsidRPr="000500DE">
        <w:rPr>
          <w:sz w:val="24"/>
          <w:szCs w:val="24"/>
        </w:rPr>
        <w:t>ask for further written statements from the nominating unit. It may also ask for additional witnesses, even from outside the University</w:t>
      </w:r>
      <w:r w:rsidR="00393CD9" w:rsidRPr="000500DE">
        <w:rPr>
          <w:sz w:val="24"/>
          <w:szCs w:val="24"/>
        </w:rPr>
        <w:t>, if it is not satisfied that those suggested by the department or school will enable it to make an informed judgment about the nomination</w:t>
      </w:r>
      <w:r w:rsidR="005D315A" w:rsidRPr="000500DE">
        <w:rPr>
          <w:sz w:val="24"/>
          <w:szCs w:val="24"/>
        </w:rPr>
        <w:t>.</w:t>
      </w:r>
    </w:p>
    <w:p w:rsidR="00504162" w:rsidRPr="000500DE" w:rsidRDefault="00504162" w:rsidP="007A4C4B">
      <w:pPr>
        <w:rPr>
          <w:sz w:val="24"/>
          <w:szCs w:val="24"/>
        </w:rPr>
      </w:pPr>
      <w:r w:rsidRPr="000500DE">
        <w:rPr>
          <w:sz w:val="24"/>
          <w:szCs w:val="24"/>
        </w:rPr>
        <w:t xml:space="preserve">The </w:t>
      </w:r>
      <w:r w:rsidR="0031344A" w:rsidRPr="000500DE">
        <w:rPr>
          <w:sz w:val="24"/>
          <w:szCs w:val="24"/>
        </w:rPr>
        <w:t>sub</w:t>
      </w:r>
      <w:r w:rsidR="0031344A">
        <w:rPr>
          <w:sz w:val="24"/>
          <w:szCs w:val="24"/>
        </w:rPr>
        <w:t>panel</w:t>
      </w:r>
      <w:r w:rsidR="0031344A" w:rsidRPr="000500DE">
        <w:rPr>
          <w:sz w:val="24"/>
          <w:szCs w:val="24"/>
        </w:rPr>
        <w:t xml:space="preserve"> </w:t>
      </w:r>
      <w:r w:rsidR="005457CD" w:rsidRPr="000500DE">
        <w:rPr>
          <w:sz w:val="24"/>
          <w:szCs w:val="24"/>
        </w:rPr>
        <w:t>may</w:t>
      </w:r>
      <w:r w:rsidR="007F7613" w:rsidRPr="000500DE">
        <w:rPr>
          <w:sz w:val="24"/>
          <w:szCs w:val="24"/>
        </w:rPr>
        <w:t xml:space="preserve"> </w:t>
      </w:r>
      <w:r w:rsidR="005457CD" w:rsidRPr="000500DE">
        <w:rPr>
          <w:sz w:val="24"/>
          <w:szCs w:val="24"/>
        </w:rPr>
        <w:t xml:space="preserve">meet in advance of the </w:t>
      </w:r>
      <w:r w:rsidR="00E0172A">
        <w:rPr>
          <w:sz w:val="24"/>
          <w:szCs w:val="24"/>
        </w:rPr>
        <w:t>meeting</w:t>
      </w:r>
      <w:r w:rsidR="005457CD" w:rsidRPr="000500DE">
        <w:rPr>
          <w:sz w:val="24"/>
          <w:szCs w:val="24"/>
        </w:rPr>
        <w:t xml:space="preserve"> to discuss and prepare the case for presentation to the </w:t>
      </w:r>
      <w:r w:rsidR="00B202F4" w:rsidRPr="000500DE">
        <w:rPr>
          <w:sz w:val="24"/>
          <w:szCs w:val="24"/>
        </w:rPr>
        <w:t>review panel</w:t>
      </w:r>
      <w:r w:rsidR="00DA1BD0">
        <w:rPr>
          <w:sz w:val="24"/>
          <w:szCs w:val="24"/>
        </w:rPr>
        <w:t>,</w:t>
      </w:r>
      <w:r w:rsidR="005457CD" w:rsidRPr="000500DE">
        <w:rPr>
          <w:sz w:val="24"/>
          <w:szCs w:val="24"/>
        </w:rPr>
        <w:t xml:space="preserve"> but will only vote at the same time as the </w:t>
      </w:r>
      <w:r w:rsidR="00B202F4" w:rsidRPr="000500DE">
        <w:rPr>
          <w:sz w:val="24"/>
          <w:szCs w:val="24"/>
        </w:rPr>
        <w:t>review panel</w:t>
      </w:r>
      <w:r w:rsidR="005457CD" w:rsidRPr="000500DE">
        <w:rPr>
          <w:sz w:val="24"/>
          <w:szCs w:val="24"/>
        </w:rPr>
        <w:t xml:space="preserve"> at the conclusion of the full deliberations.</w:t>
      </w:r>
      <w:r w:rsidR="00393CD9" w:rsidRPr="000500DE">
        <w:rPr>
          <w:sz w:val="24"/>
          <w:szCs w:val="24"/>
        </w:rPr>
        <w:t xml:space="preserve"> The </w:t>
      </w:r>
      <w:r w:rsidR="0031344A" w:rsidRPr="000500DE">
        <w:rPr>
          <w:sz w:val="24"/>
          <w:szCs w:val="24"/>
        </w:rPr>
        <w:t>sub</w:t>
      </w:r>
      <w:r w:rsidR="0031344A">
        <w:rPr>
          <w:sz w:val="24"/>
          <w:szCs w:val="24"/>
        </w:rPr>
        <w:t>panel</w:t>
      </w:r>
      <w:r w:rsidR="0031344A" w:rsidRPr="000500DE">
        <w:rPr>
          <w:sz w:val="24"/>
          <w:szCs w:val="24"/>
        </w:rPr>
        <w:t xml:space="preserve"> </w:t>
      </w:r>
      <w:r w:rsidR="00393CD9" w:rsidRPr="000500DE">
        <w:rPr>
          <w:sz w:val="24"/>
          <w:szCs w:val="24"/>
        </w:rPr>
        <w:t xml:space="preserve">is responsible for reading both the dossier and the set of representative written work. The remaining members of the review panel are </w:t>
      </w:r>
      <w:r w:rsidR="00D43CFB" w:rsidRPr="000500DE">
        <w:rPr>
          <w:sz w:val="24"/>
          <w:szCs w:val="24"/>
        </w:rPr>
        <w:t xml:space="preserve">responsible for reading </w:t>
      </w:r>
      <w:r w:rsidR="00393CD9" w:rsidRPr="000500DE">
        <w:rPr>
          <w:sz w:val="24"/>
          <w:szCs w:val="24"/>
        </w:rPr>
        <w:t>the dossier for each candidate</w:t>
      </w:r>
      <w:r w:rsidR="00DA1BD0">
        <w:rPr>
          <w:sz w:val="24"/>
          <w:szCs w:val="24"/>
        </w:rPr>
        <w:t>,</w:t>
      </w:r>
      <w:r w:rsidR="00393CD9" w:rsidRPr="000500DE">
        <w:rPr>
          <w:sz w:val="24"/>
          <w:szCs w:val="24"/>
        </w:rPr>
        <w:t xml:space="preserve"> but not the set of representative written work.  </w:t>
      </w:r>
    </w:p>
    <w:p w:rsidR="00B57A9F" w:rsidRPr="000500DE" w:rsidRDefault="005D315A" w:rsidP="0091488B">
      <w:pPr>
        <w:rPr>
          <w:sz w:val="24"/>
          <w:szCs w:val="24"/>
        </w:rPr>
      </w:pPr>
      <w:r w:rsidRPr="000500DE">
        <w:rPr>
          <w:sz w:val="24"/>
          <w:szCs w:val="24"/>
        </w:rPr>
        <w:t xml:space="preserve">The </w:t>
      </w:r>
      <w:r w:rsidR="00BB4291" w:rsidRPr="000500DE">
        <w:rPr>
          <w:sz w:val="24"/>
          <w:szCs w:val="24"/>
        </w:rPr>
        <w:t>PTC</w:t>
      </w:r>
      <w:r w:rsidRPr="000500DE">
        <w:rPr>
          <w:sz w:val="24"/>
          <w:szCs w:val="24"/>
        </w:rPr>
        <w:t xml:space="preserve"> chair conducts the meetings of the </w:t>
      </w:r>
      <w:r w:rsidR="00B202F4" w:rsidRPr="000500DE">
        <w:rPr>
          <w:sz w:val="24"/>
          <w:szCs w:val="24"/>
        </w:rPr>
        <w:t>review panel</w:t>
      </w:r>
      <w:r w:rsidRPr="000500DE">
        <w:rPr>
          <w:sz w:val="24"/>
          <w:szCs w:val="24"/>
        </w:rPr>
        <w:t xml:space="preserve">. </w:t>
      </w:r>
      <w:r w:rsidR="00B202F4" w:rsidRPr="000500DE">
        <w:rPr>
          <w:sz w:val="24"/>
          <w:szCs w:val="24"/>
        </w:rPr>
        <w:t xml:space="preserve">If the chair of the PTC is serving on </w:t>
      </w:r>
      <w:r w:rsidR="002243E3">
        <w:rPr>
          <w:sz w:val="24"/>
          <w:szCs w:val="24"/>
        </w:rPr>
        <w:t xml:space="preserve">the </w:t>
      </w:r>
      <w:r w:rsidR="0031344A">
        <w:rPr>
          <w:sz w:val="24"/>
          <w:szCs w:val="24"/>
        </w:rPr>
        <w:t xml:space="preserve">subpanel </w:t>
      </w:r>
      <w:r w:rsidR="002243E3">
        <w:rPr>
          <w:sz w:val="24"/>
          <w:szCs w:val="24"/>
        </w:rPr>
        <w:t>assigned to read</w:t>
      </w:r>
      <w:r w:rsidR="00AC5EAE">
        <w:rPr>
          <w:sz w:val="24"/>
          <w:szCs w:val="24"/>
        </w:rPr>
        <w:t xml:space="preserve"> the candidate’s work </w:t>
      </w:r>
      <w:r w:rsidR="00B202F4" w:rsidRPr="000500DE">
        <w:rPr>
          <w:sz w:val="24"/>
          <w:szCs w:val="24"/>
        </w:rPr>
        <w:t xml:space="preserve">or is unable to attend a meeting, the Executive Vice President in consultation with the chair of the PTC will select an acting chair of the PTC. </w:t>
      </w:r>
      <w:r w:rsidR="00B57A9F" w:rsidRPr="000500DE">
        <w:rPr>
          <w:sz w:val="24"/>
          <w:szCs w:val="24"/>
        </w:rPr>
        <w:t xml:space="preserve">The Executive Vice President or a representative attends all PTC meetings and may actively participate in the questioning of witnesses and in the discussion of the committee. When appropriate, other individuals such as the relevant divisional dean are invited to attend the meetings </w:t>
      </w:r>
      <w:r w:rsidR="00FF2B90">
        <w:rPr>
          <w:sz w:val="24"/>
          <w:szCs w:val="24"/>
        </w:rPr>
        <w:t>as an observer</w:t>
      </w:r>
      <w:r w:rsidR="00DA1BD0">
        <w:rPr>
          <w:sz w:val="24"/>
          <w:szCs w:val="24"/>
        </w:rPr>
        <w:t>,</w:t>
      </w:r>
      <w:r w:rsidR="00B57A9F" w:rsidRPr="000500DE">
        <w:rPr>
          <w:sz w:val="24"/>
          <w:szCs w:val="24"/>
        </w:rPr>
        <w:t xml:space="preserve"> </w:t>
      </w:r>
      <w:r w:rsidR="00FF2B90" w:rsidRPr="00FF2B90">
        <w:rPr>
          <w:sz w:val="24"/>
          <w:szCs w:val="24"/>
        </w:rPr>
        <w:t>without vote and with voice confined to procedural issues or responses to questions by the PTC</w:t>
      </w:r>
      <w:r w:rsidR="00FF2B90">
        <w:rPr>
          <w:sz w:val="24"/>
          <w:szCs w:val="24"/>
        </w:rPr>
        <w:t>. The divisional dean may not actively participate in the questioning of witnesses and the discussion.</w:t>
      </w:r>
    </w:p>
    <w:p w:rsidR="008C3A6B" w:rsidRPr="000500DE" w:rsidRDefault="00946FC0" w:rsidP="007A4C4B">
      <w:pPr>
        <w:rPr>
          <w:sz w:val="24"/>
          <w:szCs w:val="24"/>
        </w:rPr>
      </w:pPr>
      <w:r w:rsidRPr="000500DE">
        <w:rPr>
          <w:sz w:val="24"/>
          <w:szCs w:val="24"/>
        </w:rPr>
        <w:t xml:space="preserve">The chair of the </w:t>
      </w:r>
      <w:r w:rsidR="0031344A" w:rsidRPr="000500DE">
        <w:rPr>
          <w:sz w:val="24"/>
          <w:szCs w:val="24"/>
        </w:rPr>
        <w:t>sub</w:t>
      </w:r>
      <w:r w:rsidR="0031344A">
        <w:rPr>
          <w:sz w:val="24"/>
          <w:szCs w:val="24"/>
        </w:rPr>
        <w:t>panel</w:t>
      </w:r>
      <w:r w:rsidR="0031344A" w:rsidRPr="000500DE">
        <w:rPr>
          <w:sz w:val="24"/>
          <w:szCs w:val="24"/>
        </w:rPr>
        <w:t xml:space="preserve"> </w:t>
      </w:r>
      <w:r w:rsidRPr="000500DE">
        <w:rPr>
          <w:sz w:val="24"/>
          <w:szCs w:val="24"/>
        </w:rPr>
        <w:t xml:space="preserve">leads the discussion about the nominee’s qualifications. </w:t>
      </w:r>
      <w:r w:rsidR="005D315A" w:rsidRPr="000500DE">
        <w:rPr>
          <w:sz w:val="24"/>
          <w:szCs w:val="24"/>
        </w:rPr>
        <w:t xml:space="preserve">If the </w:t>
      </w:r>
      <w:r w:rsidR="00E66AE4" w:rsidRPr="000500DE">
        <w:rPr>
          <w:sz w:val="24"/>
          <w:szCs w:val="24"/>
        </w:rPr>
        <w:t>review panel</w:t>
      </w:r>
      <w:r w:rsidR="005D315A" w:rsidRPr="000500DE">
        <w:rPr>
          <w:sz w:val="24"/>
          <w:szCs w:val="24"/>
        </w:rPr>
        <w:t xml:space="preserve"> decides that additional information, testimony</w:t>
      </w:r>
      <w:r w:rsidR="00DA1BD0">
        <w:rPr>
          <w:sz w:val="24"/>
          <w:szCs w:val="24"/>
        </w:rPr>
        <w:t>,</w:t>
      </w:r>
      <w:r w:rsidR="005D315A" w:rsidRPr="000500DE">
        <w:rPr>
          <w:sz w:val="24"/>
          <w:szCs w:val="24"/>
        </w:rPr>
        <w:t xml:space="preserve"> or deliberation is required, the review </w:t>
      </w:r>
      <w:r w:rsidR="000D1E68" w:rsidRPr="000500DE">
        <w:rPr>
          <w:sz w:val="24"/>
          <w:szCs w:val="24"/>
        </w:rPr>
        <w:t xml:space="preserve">is resumed </w:t>
      </w:r>
      <w:r w:rsidR="005D315A" w:rsidRPr="000500DE">
        <w:rPr>
          <w:sz w:val="24"/>
          <w:szCs w:val="24"/>
        </w:rPr>
        <w:t xml:space="preserve">at </w:t>
      </w:r>
      <w:r w:rsidR="00BB4291" w:rsidRPr="000500DE">
        <w:rPr>
          <w:sz w:val="24"/>
          <w:szCs w:val="24"/>
        </w:rPr>
        <w:t xml:space="preserve">a </w:t>
      </w:r>
      <w:r w:rsidR="005D315A" w:rsidRPr="000500DE">
        <w:rPr>
          <w:sz w:val="24"/>
          <w:szCs w:val="24"/>
        </w:rPr>
        <w:t>subsequent</w:t>
      </w:r>
      <w:r w:rsidR="00BB4291" w:rsidRPr="000500DE">
        <w:rPr>
          <w:sz w:val="24"/>
          <w:szCs w:val="24"/>
        </w:rPr>
        <w:t xml:space="preserve"> meeting or subsequent meetings</w:t>
      </w:r>
      <w:r w:rsidR="005D315A" w:rsidRPr="000500DE">
        <w:rPr>
          <w:sz w:val="24"/>
          <w:szCs w:val="24"/>
        </w:rPr>
        <w:t xml:space="preserve"> u</w:t>
      </w:r>
      <w:r w:rsidR="000D1E68" w:rsidRPr="000500DE">
        <w:rPr>
          <w:sz w:val="24"/>
          <w:szCs w:val="24"/>
        </w:rPr>
        <w:t xml:space="preserve">ntil </w:t>
      </w:r>
      <w:r w:rsidR="00142247" w:rsidRPr="000500DE">
        <w:rPr>
          <w:sz w:val="24"/>
          <w:szCs w:val="24"/>
        </w:rPr>
        <w:t xml:space="preserve">the </w:t>
      </w:r>
      <w:r w:rsidR="000D1E68" w:rsidRPr="000500DE">
        <w:rPr>
          <w:sz w:val="24"/>
          <w:szCs w:val="24"/>
        </w:rPr>
        <w:t>deliberations are complete</w:t>
      </w:r>
      <w:r w:rsidR="005D315A" w:rsidRPr="000500DE">
        <w:rPr>
          <w:sz w:val="24"/>
          <w:szCs w:val="24"/>
        </w:rPr>
        <w:t xml:space="preserve">. Once the </w:t>
      </w:r>
      <w:r w:rsidR="00E66AE4" w:rsidRPr="000500DE">
        <w:rPr>
          <w:sz w:val="24"/>
          <w:szCs w:val="24"/>
        </w:rPr>
        <w:t>review panel</w:t>
      </w:r>
      <w:r w:rsidR="005D315A" w:rsidRPr="000500DE">
        <w:rPr>
          <w:sz w:val="24"/>
          <w:szCs w:val="24"/>
        </w:rPr>
        <w:t xml:space="preserve"> has </w:t>
      </w:r>
      <w:r w:rsidR="002F6347" w:rsidRPr="000500DE">
        <w:rPr>
          <w:sz w:val="24"/>
          <w:szCs w:val="24"/>
        </w:rPr>
        <w:t>concluded</w:t>
      </w:r>
      <w:r w:rsidR="00DA1BD0">
        <w:rPr>
          <w:sz w:val="24"/>
          <w:szCs w:val="24"/>
        </w:rPr>
        <w:t xml:space="preserve"> its deliberations </w:t>
      </w:r>
      <w:r w:rsidR="002F6347" w:rsidRPr="000500DE">
        <w:rPr>
          <w:sz w:val="24"/>
          <w:szCs w:val="24"/>
        </w:rPr>
        <w:t xml:space="preserve">its </w:t>
      </w:r>
      <w:r w:rsidR="00E66AE4" w:rsidRPr="000500DE">
        <w:rPr>
          <w:sz w:val="24"/>
          <w:szCs w:val="24"/>
        </w:rPr>
        <w:t>seven members</w:t>
      </w:r>
      <w:r w:rsidR="002F6347" w:rsidRPr="000500DE">
        <w:rPr>
          <w:sz w:val="24"/>
          <w:szCs w:val="24"/>
        </w:rPr>
        <w:t xml:space="preserve">, </w:t>
      </w:r>
      <w:r w:rsidR="005D315A" w:rsidRPr="000500DE">
        <w:rPr>
          <w:sz w:val="24"/>
          <w:szCs w:val="24"/>
        </w:rPr>
        <w:t xml:space="preserve">the </w:t>
      </w:r>
      <w:r w:rsidR="00E66AE4" w:rsidRPr="000500DE">
        <w:rPr>
          <w:sz w:val="24"/>
          <w:szCs w:val="24"/>
        </w:rPr>
        <w:t>five PTC members</w:t>
      </w:r>
      <w:r w:rsidR="005D315A" w:rsidRPr="000500DE">
        <w:rPr>
          <w:sz w:val="24"/>
          <w:szCs w:val="24"/>
        </w:rPr>
        <w:t xml:space="preserve"> and the two </w:t>
      </w:r>
      <w:r w:rsidR="0031344A">
        <w:rPr>
          <w:sz w:val="24"/>
          <w:szCs w:val="24"/>
        </w:rPr>
        <w:t>outside members</w:t>
      </w:r>
      <w:r w:rsidR="002F6347" w:rsidRPr="000500DE">
        <w:rPr>
          <w:sz w:val="24"/>
          <w:szCs w:val="24"/>
        </w:rPr>
        <w:t>,</w:t>
      </w:r>
      <w:r w:rsidR="005D315A" w:rsidRPr="000500DE">
        <w:rPr>
          <w:sz w:val="24"/>
          <w:szCs w:val="24"/>
        </w:rPr>
        <w:t xml:space="preserve"> </w:t>
      </w:r>
      <w:r w:rsidR="00880D55" w:rsidRPr="000500DE">
        <w:rPr>
          <w:sz w:val="24"/>
          <w:szCs w:val="24"/>
        </w:rPr>
        <w:t xml:space="preserve">vote on the nomination </w:t>
      </w:r>
      <w:r w:rsidR="00940279" w:rsidRPr="000500DE">
        <w:rPr>
          <w:sz w:val="24"/>
          <w:szCs w:val="24"/>
        </w:rPr>
        <w:t xml:space="preserve">by open vote. The chair </w:t>
      </w:r>
      <w:r w:rsidR="00E66AE4" w:rsidRPr="000500DE">
        <w:rPr>
          <w:sz w:val="24"/>
          <w:szCs w:val="24"/>
        </w:rPr>
        <w:t xml:space="preserve">of the </w:t>
      </w:r>
      <w:r w:rsidR="0031344A" w:rsidRPr="000500DE">
        <w:rPr>
          <w:sz w:val="24"/>
          <w:szCs w:val="24"/>
        </w:rPr>
        <w:t>sub</w:t>
      </w:r>
      <w:r w:rsidR="0031344A">
        <w:rPr>
          <w:sz w:val="24"/>
          <w:szCs w:val="24"/>
        </w:rPr>
        <w:t>panel</w:t>
      </w:r>
      <w:r w:rsidR="0031344A" w:rsidRPr="000500DE">
        <w:rPr>
          <w:sz w:val="24"/>
          <w:szCs w:val="24"/>
        </w:rPr>
        <w:t xml:space="preserve"> </w:t>
      </w:r>
      <w:r w:rsidR="00940279" w:rsidRPr="000500DE">
        <w:rPr>
          <w:sz w:val="24"/>
          <w:szCs w:val="24"/>
        </w:rPr>
        <w:t>conveys the</w:t>
      </w:r>
      <w:r w:rsidR="00880D55" w:rsidRPr="000500DE">
        <w:rPr>
          <w:sz w:val="24"/>
          <w:szCs w:val="24"/>
        </w:rPr>
        <w:t xml:space="preserve"> recommendation to the Executive Vice President for Arts and Sciences in writing</w:t>
      </w:r>
      <w:r w:rsidR="00E66AE4" w:rsidRPr="000500DE">
        <w:rPr>
          <w:sz w:val="24"/>
          <w:szCs w:val="24"/>
        </w:rPr>
        <w:t>, providing the vote and the reasons for the vote</w:t>
      </w:r>
      <w:r w:rsidR="00880D55" w:rsidRPr="000500DE">
        <w:rPr>
          <w:sz w:val="24"/>
          <w:szCs w:val="24"/>
        </w:rPr>
        <w:t>.</w:t>
      </w:r>
    </w:p>
    <w:p w:rsidR="00466573" w:rsidRPr="00525E92" w:rsidRDefault="00880D55" w:rsidP="007A4C4B">
      <w:pPr>
        <w:rPr>
          <w:sz w:val="24"/>
          <w:szCs w:val="24"/>
        </w:rPr>
      </w:pPr>
      <w:r w:rsidRPr="000500DE">
        <w:rPr>
          <w:sz w:val="24"/>
          <w:szCs w:val="24"/>
        </w:rPr>
        <w:lastRenderedPageBreak/>
        <w:t xml:space="preserve">The PTC serves in an advisory capacity to the Executive Vice </w:t>
      </w:r>
      <w:r w:rsidR="002F6347" w:rsidRPr="000500DE">
        <w:rPr>
          <w:sz w:val="24"/>
          <w:szCs w:val="24"/>
        </w:rPr>
        <w:t xml:space="preserve">President </w:t>
      </w:r>
      <w:r w:rsidRPr="000500DE">
        <w:rPr>
          <w:sz w:val="24"/>
          <w:szCs w:val="24"/>
        </w:rPr>
        <w:t xml:space="preserve">who is not bound by the recommendation. In particular, a split vote in favor of a candidate is not a strong recommendation. In addition to the final vote, the </w:t>
      </w:r>
      <w:r w:rsidR="002F6347" w:rsidRPr="000500DE">
        <w:rPr>
          <w:sz w:val="24"/>
          <w:szCs w:val="24"/>
        </w:rPr>
        <w:t>Executive Vice President</w:t>
      </w:r>
      <w:r w:rsidRPr="000500DE">
        <w:rPr>
          <w:sz w:val="24"/>
          <w:szCs w:val="24"/>
        </w:rPr>
        <w:t xml:space="preserve"> weighs the evidence presented to the committee and the discussion of the members at their meeting before deciding whether or not to accept their recommendation. The Executive Vice President may also obtain additional information after the meeting before reaching a decision on the nomination, such as written assessments of the nominee from the members of the PTC or further written or verbal evaluations from experts at other institutions. Upon completion of his or her review, the Executive Vice President submits a recommendation to the Provost, along with the dossier</w:t>
      </w:r>
      <w:r w:rsidR="00BD2252" w:rsidRPr="000500DE">
        <w:rPr>
          <w:sz w:val="24"/>
          <w:szCs w:val="24"/>
        </w:rPr>
        <w:t>, for consideratio</w:t>
      </w:r>
      <w:r w:rsidR="00CB4011" w:rsidRPr="000500DE">
        <w:rPr>
          <w:sz w:val="24"/>
          <w:szCs w:val="24"/>
        </w:rPr>
        <w:t>n by the Provost’s Standing</w:t>
      </w:r>
      <w:r w:rsidR="00BD2252" w:rsidRPr="000500DE">
        <w:rPr>
          <w:sz w:val="24"/>
          <w:szCs w:val="24"/>
        </w:rPr>
        <w:t xml:space="preserve"> Committee on Tenure</w:t>
      </w:r>
      <w:r w:rsidR="00CB4011" w:rsidRPr="000500DE">
        <w:rPr>
          <w:sz w:val="24"/>
          <w:szCs w:val="24"/>
        </w:rPr>
        <w:t xml:space="preserve"> – the Tenure Review Advisory Committee (TRAC)</w:t>
      </w:r>
      <w:r w:rsidR="00BD2252" w:rsidRPr="000500DE">
        <w:rPr>
          <w:sz w:val="24"/>
          <w:szCs w:val="24"/>
        </w:rPr>
        <w:t>.</w:t>
      </w:r>
      <w:r w:rsidR="00820B78" w:rsidRPr="000500DE">
        <w:rPr>
          <w:sz w:val="24"/>
          <w:szCs w:val="24"/>
        </w:rPr>
        <w:t xml:space="preserve"> When forwarding a candidate to the Provost for the next level of review, the Executive Vice Preside</w:t>
      </w:r>
      <w:r w:rsidR="00D67B2A" w:rsidRPr="000500DE">
        <w:rPr>
          <w:sz w:val="24"/>
          <w:szCs w:val="24"/>
        </w:rPr>
        <w:t>nt</w:t>
      </w:r>
      <w:r w:rsidR="00820B78" w:rsidRPr="000500DE">
        <w:rPr>
          <w:sz w:val="24"/>
          <w:szCs w:val="24"/>
        </w:rPr>
        <w:t xml:space="preserve"> will </w:t>
      </w:r>
      <w:r w:rsidR="00960FF2" w:rsidRPr="000500DE">
        <w:rPr>
          <w:sz w:val="24"/>
          <w:szCs w:val="24"/>
        </w:rPr>
        <w:t xml:space="preserve">provide the Provost with a written account of the PTC’s vote and the reasons for the decision. The Executive Vice President will convey the outcome of each case to the department chair who may inform the candidate whether </w:t>
      </w:r>
      <w:r w:rsidR="00BE6B75" w:rsidRPr="000500DE">
        <w:rPr>
          <w:sz w:val="24"/>
          <w:szCs w:val="24"/>
        </w:rPr>
        <w:t>the</w:t>
      </w:r>
      <w:r w:rsidR="00960FF2" w:rsidRPr="000500DE">
        <w:rPr>
          <w:sz w:val="24"/>
          <w:szCs w:val="24"/>
        </w:rPr>
        <w:t xml:space="preserve"> case has been forwarded to the Provost for the next level of review.</w:t>
      </w:r>
    </w:p>
    <w:p w:rsidR="00AC6292" w:rsidRPr="00525E92" w:rsidRDefault="005927C1" w:rsidP="007A4C4B">
      <w:pPr>
        <w:rPr>
          <w:b/>
          <w:sz w:val="24"/>
          <w:szCs w:val="24"/>
        </w:rPr>
      </w:pPr>
      <w:r>
        <w:rPr>
          <w:b/>
          <w:sz w:val="24"/>
          <w:szCs w:val="24"/>
        </w:rPr>
        <w:t>Confidentiality</w:t>
      </w:r>
    </w:p>
    <w:p w:rsidR="00644826" w:rsidRPr="009D3886" w:rsidRDefault="001A5F43" w:rsidP="00277C60">
      <w:pPr>
        <w:rPr>
          <w:sz w:val="24"/>
          <w:szCs w:val="24"/>
        </w:rPr>
      </w:pPr>
      <w:r w:rsidRPr="000500DE">
        <w:rPr>
          <w:sz w:val="24"/>
          <w:szCs w:val="24"/>
        </w:rPr>
        <w:t xml:space="preserve">While the membership of the PTC is </w:t>
      </w:r>
      <w:r w:rsidR="00644826" w:rsidRPr="000500DE">
        <w:rPr>
          <w:sz w:val="24"/>
          <w:szCs w:val="24"/>
        </w:rPr>
        <w:t>public information</w:t>
      </w:r>
      <w:r w:rsidRPr="000500DE">
        <w:rPr>
          <w:sz w:val="24"/>
          <w:szCs w:val="24"/>
        </w:rPr>
        <w:t>,</w:t>
      </w:r>
      <w:r w:rsidR="00644826" w:rsidRPr="000500DE">
        <w:rPr>
          <w:sz w:val="24"/>
          <w:szCs w:val="24"/>
        </w:rPr>
        <w:t xml:space="preserve"> </w:t>
      </w:r>
      <w:r w:rsidR="00644826" w:rsidRPr="009D3886">
        <w:rPr>
          <w:sz w:val="24"/>
          <w:szCs w:val="24"/>
        </w:rPr>
        <w:t xml:space="preserve">all aspects of its </w:t>
      </w:r>
      <w:r w:rsidR="009D3886" w:rsidRPr="009D3886">
        <w:rPr>
          <w:sz w:val="24"/>
          <w:szCs w:val="24"/>
        </w:rPr>
        <w:t xml:space="preserve">proceedings are conducted with strict confidentiality.  </w:t>
      </w:r>
      <w:r w:rsidR="00B816B5" w:rsidRPr="009D3886">
        <w:rPr>
          <w:sz w:val="24"/>
          <w:szCs w:val="24"/>
        </w:rPr>
        <w:t xml:space="preserve">Committee members, witnesses, and any others who are involved with the tenure review process in any way are expected to maintain confidentiality at all times.  Because of the need for confidentiality, </w:t>
      </w:r>
      <w:r w:rsidR="009D3886">
        <w:rPr>
          <w:sz w:val="24"/>
          <w:szCs w:val="24"/>
        </w:rPr>
        <w:t>the</w:t>
      </w:r>
      <w:r w:rsidR="00644826" w:rsidRPr="009D3886">
        <w:rPr>
          <w:sz w:val="24"/>
          <w:szCs w:val="24"/>
        </w:rPr>
        <w:t xml:space="preserve"> membership of the review panel and </w:t>
      </w:r>
      <w:r w:rsidR="00277C60">
        <w:rPr>
          <w:sz w:val="24"/>
          <w:szCs w:val="24"/>
        </w:rPr>
        <w:t>its meeting date</w:t>
      </w:r>
      <w:r w:rsidR="00644826" w:rsidRPr="009D3886">
        <w:rPr>
          <w:sz w:val="24"/>
          <w:szCs w:val="24"/>
        </w:rPr>
        <w:t xml:space="preserve"> are made known only to individuals who participate in its </w:t>
      </w:r>
      <w:r w:rsidR="00B816B5" w:rsidRPr="009D3886">
        <w:rPr>
          <w:sz w:val="24"/>
          <w:szCs w:val="24"/>
        </w:rPr>
        <w:t xml:space="preserve">constitution or </w:t>
      </w:r>
      <w:r w:rsidR="00644826" w:rsidRPr="009D3886">
        <w:rPr>
          <w:sz w:val="24"/>
          <w:szCs w:val="24"/>
        </w:rPr>
        <w:t xml:space="preserve">deliberations.  The content of the discussion about a nomination and the actual vote are similarly restricted to the members of the </w:t>
      </w:r>
      <w:r w:rsidR="00B816B5" w:rsidRPr="009D3886">
        <w:rPr>
          <w:sz w:val="24"/>
          <w:szCs w:val="24"/>
        </w:rPr>
        <w:t>review panel</w:t>
      </w:r>
      <w:r w:rsidR="00644826" w:rsidRPr="009D3886">
        <w:rPr>
          <w:sz w:val="24"/>
          <w:szCs w:val="24"/>
        </w:rPr>
        <w:t xml:space="preserve"> and to the </w:t>
      </w:r>
      <w:r w:rsidR="00B816B5" w:rsidRPr="009D3886">
        <w:rPr>
          <w:sz w:val="24"/>
          <w:szCs w:val="24"/>
        </w:rPr>
        <w:t xml:space="preserve">Executive Vice President or his </w:t>
      </w:r>
      <w:r w:rsidR="00644826" w:rsidRPr="009D3886">
        <w:rPr>
          <w:sz w:val="24"/>
          <w:szCs w:val="24"/>
        </w:rPr>
        <w:t xml:space="preserve">representatives.  </w:t>
      </w:r>
      <w:r w:rsidR="00277C60">
        <w:rPr>
          <w:sz w:val="24"/>
          <w:szCs w:val="24"/>
        </w:rPr>
        <w:t>Anyone involved in a review</w:t>
      </w:r>
      <w:r w:rsidR="00644826" w:rsidRPr="009D3886">
        <w:rPr>
          <w:sz w:val="24"/>
          <w:szCs w:val="24"/>
        </w:rPr>
        <w:t xml:space="preserve"> who wishes to discuss the proceedings should do so by communicating </w:t>
      </w:r>
      <w:r w:rsidR="00E65B89" w:rsidRPr="009D3886">
        <w:rPr>
          <w:sz w:val="24"/>
          <w:szCs w:val="24"/>
        </w:rPr>
        <w:t xml:space="preserve">not to a member of the PTC but </w:t>
      </w:r>
      <w:r w:rsidR="00644826" w:rsidRPr="009D3886">
        <w:rPr>
          <w:sz w:val="24"/>
          <w:szCs w:val="24"/>
        </w:rPr>
        <w:t xml:space="preserve">with the </w:t>
      </w:r>
      <w:r w:rsidR="00B816B5" w:rsidRPr="009D3886">
        <w:rPr>
          <w:sz w:val="24"/>
          <w:szCs w:val="24"/>
        </w:rPr>
        <w:t xml:space="preserve">Executive </w:t>
      </w:r>
      <w:proofErr w:type="gramStart"/>
      <w:r w:rsidR="00B816B5" w:rsidRPr="009D3886">
        <w:rPr>
          <w:sz w:val="24"/>
          <w:szCs w:val="24"/>
        </w:rPr>
        <w:t>Vice</w:t>
      </w:r>
      <w:proofErr w:type="gramEnd"/>
      <w:r w:rsidR="00B816B5" w:rsidRPr="009D3886">
        <w:rPr>
          <w:sz w:val="24"/>
          <w:szCs w:val="24"/>
        </w:rPr>
        <w:t xml:space="preserve"> Dean or the Chair of the PTC</w:t>
      </w:r>
      <w:r w:rsidR="00644826" w:rsidRPr="009D3886">
        <w:rPr>
          <w:sz w:val="24"/>
          <w:szCs w:val="24"/>
        </w:rPr>
        <w:t xml:space="preserve">.  </w:t>
      </w:r>
    </w:p>
    <w:p w:rsidR="00A43E41" w:rsidRDefault="00A43E41" w:rsidP="00A43E41">
      <w:pPr>
        <w:rPr>
          <w:b/>
          <w:sz w:val="24"/>
          <w:szCs w:val="24"/>
        </w:rPr>
      </w:pPr>
      <w:r w:rsidRPr="000C24AB">
        <w:rPr>
          <w:b/>
          <w:sz w:val="24"/>
          <w:szCs w:val="24"/>
        </w:rPr>
        <w:t>Part Two</w:t>
      </w:r>
    </w:p>
    <w:p w:rsidR="00A43E41" w:rsidRDefault="00A43E41" w:rsidP="00A43E41">
      <w:pPr>
        <w:rPr>
          <w:b/>
          <w:sz w:val="24"/>
          <w:szCs w:val="24"/>
        </w:rPr>
      </w:pPr>
      <w:r w:rsidRPr="000C24AB">
        <w:rPr>
          <w:b/>
          <w:sz w:val="24"/>
          <w:szCs w:val="24"/>
        </w:rPr>
        <w:t>Preparations for a Nomination</w:t>
      </w:r>
      <w:r w:rsidR="00D64359">
        <w:rPr>
          <w:b/>
          <w:sz w:val="24"/>
          <w:szCs w:val="24"/>
        </w:rPr>
        <w:t xml:space="preserve"> to Tenure</w:t>
      </w:r>
      <w:r w:rsidRPr="000C24AB">
        <w:rPr>
          <w:b/>
          <w:sz w:val="24"/>
          <w:szCs w:val="24"/>
        </w:rPr>
        <w:t xml:space="preserve"> for the Promotion and Tenure Committee</w:t>
      </w:r>
    </w:p>
    <w:p w:rsidR="00A43E41" w:rsidRPr="000500DE" w:rsidRDefault="00A43E41" w:rsidP="00A43E41">
      <w:pPr>
        <w:rPr>
          <w:sz w:val="24"/>
          <w:szCs w:val="24"/>
        </w:rPr>
      </w:pPr>
      <w:r w:rsidRPr="000500DE">
        <w:rPr>
          <w:sz w:val="24"/>
          <w:szCs w:val="24"/>
        </w:rPr>
        <w:t xml:space="preserve">Part II of this document is intended to assist departments and schools in preparing their tenure nominations in a thorough and timely manner, so as to avoid the delays that will result from incomplete documentation or late submission. It </w:t>
      </w:r>
      <w:r w:rsidR="00277C60">
        <w:rPr>
          <w:sz w:val="24"/>
          <w:szCs w:val="24"/>
        </w:rPr>
        <w:t>contains</w:t>
      </w:r>
      <w:r w:rsidRPr="000500DE">
        <w:rPr>
          <w:sz w:val="24"/>
          <w:szCs w:val="24"/>
        </w:rPr>
        <w:t xml:space="preserve"> guidelines on the </w:t>
      </w:r>
      <w:r w:rsidR="00E413DD">
        <w:rPr>
          <w:sz w:val="24"/>
          <w:szCs w:val="24"/>
        </w:rPr>
        <w:t xml:space="preserve">required </w:t>
      </w:r>
      <w:r w:rsidRPr="000500DE">
        <w:rPr>
          <w:sz w:val="24"/>
          <w:szCs w:val="24"/>
        </w:rPr>
        <w:t xml:space="preserve">materials that should be submitted to the </w:t>
      </w:r>
      <w:r w:rsidR="00CA4EAF" w:rsidRPr="000500DE">
        <w:rPr>
          <w:sz w:val="24"/>
          <w:szCs w:val="24"/>
        </w:rPr>
        <w:t xml:space="preserve">Office of the </w:t>
      </w:r>
      <w:r w:rsidRPr="000500DE">
        <w:rPr>
          <w:sz w:val="24"/>
          <w:szCs w:val="24"/>
        </w:rPr>
        <w:t>Executive Vice President and, in the final section, provides a schedule for their submission. A checklist of the required materials is included at the end of this section.</w:t>
      </w:r>
    </w:p>
    <w:p w:rsidR="00A43E41" w:rsidRPr="000500DE" w:rsidRDefault="00A43E41" w:rsidP="00A43E41">
      <w:pPr>
        <w:rPr>
          <w:sz w:val="24"/>
          <w:szCs w:val="24"/>
        </w:rPr>
      </w:pPr>
      <w:r w:rsidRPr="000500DE">
        <w:rPr>
          <w:sz w:val="24"/>
          <w:szCs w:val="24"/>
        </w:rPr>
        <w:lastRenderedPageBreak/>
        <w:t>The PTC begins its evaluation of a nomination with the information provid</w:t>
      </w:r>
      <w:r w:rsidR="00D64359" w:rsidRPr="000500DE">
        <w:rPr>
          <w:sz w:val="24"/>
          <w:szCs w:val="24"/>
        </w:rPr>
        <w:t xml:space="preserve">ed in the </w:t>
      </w:r>
      <w:r w:rsidRPr="000500DE">
        <w:rPr>
          <w:sz w:val="24"/>
          <w:szCs w:val="24"/>
        </w:rPr>
        <w:t xml:space="preserve">dossier. It is therefore in the interest of the nominating unit to present its case as clearly and coherently as possible, addressing all of the issues </w:t>
      </w:r>
      <w:r w:rsidR="00E65B89" w:rsidRPr="000500DE">
        <w:rPr>
          <w:sz w:val="24"/>
          <w:szCs w:val="24"/>
        </w:rPr>
        <w:t xml:space="preserve">that </w:t>
      </w:r>
      <w:r w:rsidRPr="000500DE">
        <w:rPr>
          <w:sz w:val="24"/>
          <w:szCs w:val="24"/>
        </w:rPr>
        <w:t xml:space="preserve">the PTC is expected to consider. The following outline of the required materials should be read  in reference to Part I of this document, particularly the sections </w:t>
      </w:r>
      <w:r w:rsidR="00E65B89" w:rsidRPr="000500DE">
        <w:rPr>
          <w:sz w:val="24"/>
          <w:szCs w:val="24"/>
        </w:rPr>
        <w:t xml:space="preserve">that </w:t>
      </w:r>
      <w:r w:rsidRPr="000500DE">
        <w:rPr>
          <w:sz w:val="24"/>
          <w:szCs w:val="24"/>
        </w:rPr>
        <w:t xml:space="preserve">describe the "Criteria for an Appointment to Tenure" and the "Evidence Considered </w:t>
      </w:r>
      <w:r w:rsidR="00CA4EAF" w:rsidRPr="000500DE">
        <w:rPr>
          <w:sz w:val="24"/>
          <w:szCs w:val="24"/>
        </w:rPr>
        <w:t>by the PTC</w:t>
      </w:r>
      <w:r w:rsidRPr="000500DE">
        <w:rPr>
          <w:sz w:val="24"/>
          <w:szCs w:val="24"/>
        </w:rPr>
        <w:t xml:space="preserve">” and to the timeline attached to these guidelines, “Steps in a Positive Tenure Review.” </w:t>
      </w:r>
    </w:p>
    <w:p w:rsidR="00A43E41" w:rsidRPr="000500DE" w:rsidRDefault="00A43E41" w:rsidP="00A43E41">
      <w:pPr>
        <w:rPr>
          <w:sz w:val="24"/>
          <w:szCs w:val="24"/>
        </w:rPr>
      </w:pPr>
      <w:r w:rsidRPr="000500DE">
        <w:rPr>
          <w:sz w:val="24"/>
          <w:szCs w:val="24"/>
        </w:rPr>
        <w:t>It is the responsibility of the chair or dean making the nomination to see that the materials required for the dossier are complete, accurate</w:t>
      </w:r>
      <w:r w:rsidR="00E413DD">
        <w:rPr>
          <w:sz w:val="24"/>
          <w:szCs w:val="24"/>
        </w:rPr>
        <w:t>,</w:t>
      </w:r>
      <w:r w:rsidRPr="000500DE">
        <w:rPr>
          <w:sz w:val="24"/>
          <w:szCs w:val="24"/>
        </w:rPr>
        <w:t xml:space="preserve"> and submitted to the Office of the Executive Vice President on schedule.</w:t>
      </w:r>
    </w:p>
    <w:p w:rsidR="00A43E41" w:rsidRPr="000500DE" w:rsidRDefault="00A43E41" w:rsidP="00A43E41">
      <w:pPr>
        <w:rPr>
          <w:b/>
          <w:sz w:val="24"/>
          <w:szCs w:val="24"/>
        </w:rPr>
      </w:pPr>
      <w:r w:rsidRPr="000500DE">
        <w:rPr>
          <w:b/>
          <w:sz w:val="24"/>
          <w:szCs w:val="24"/>
        </w:rPr>
        <w:t>Preliminary Preparations</w:t>
      </w:r>
    </w:p>
    <w:p w:rsidR="00A43E41" w:rsidRPr="000500DE" w:rsidRDefault="00A43E41" w:rsidP="00A43E41">
      <w:pPr>
        <w:rPr>
          <w:i/>
          <w:sz w:val="24"/>
          <w:szCs w:val="24"/>
        </w:rPr>
      </w:pPr>
      <w:r w:rsidRPr="000500DE">
        <w:rPr>
          <w:i/>
          <w:sz w:val="24"/>
          <w:szCs w:val="24"/>
        </w:rPr>
        <w:t>Internal Promotions to Tenure</w:t>
      </w:r>
    </w:p>
    <w:p w:rsidR="00A43E41" w:rsidRDefault="00A43E41" w:rsidP="00A43E41">
      <w:pPr>
        <w:rPr>
          <w:sz w:val="24"/>
          <w:szCs w:val="24"/>
        </w:rPr>
      </w:pPr>
      <w:r w:rsidRPr="000500DE">
        <w:rPr>
          <w:sz w:val="24"/>
          <w:szCs w:val="24"/>
        </w:rPr>
        <w:t>For internal promotions to tenure, the tenure review process begins, when in the first week of October, the Office of Academic Affairs in the Arts and Science sends to each department chair and academic department administrator</w:t>
      </w:r>
      <w:r w:rsidR="00E413DD">
        <w:rPr>
          <w:sz w:val="24"/>
          <w:szCs w:val="24"/>
        </w:rPr>
        <w:t>:</w:t>
      </w:r>
      <w:r w:rsidR="00E65B89" w:rsidRPr="000500DE">
        <w:rPr>
          <w:sz w:val="24"/>
          <w:szCs w:val="24"/>
        </w:rPr>
        <w:t xml:space="preserve"> 1)</w:t>
      </w:r>
      <w:r w:rsidRPr="000500DE">
        <w:rPr>
          <w:sz w:val="24"/>
          <w:szCs w:val="24"/>
        </w:rPr>
        <w:t xml:space="preserve"> a list of faculty who must be </w:t>
      </w:r>
      <w:r w:rsidR="009D3886">
        <w:rPr>
          <w:sz w:val="24"/>
          <w:szCs w:val="24"/>
        </w:rPr>
        <w:t xml:space="preserve">considered </w:t>
      </w:r>
      <w:r w:rsidRPr="000500DE">
        <w:rPr>
          <w:sz w:val="24"/>
          <w:szCs w:val="24"/>
        </w:rPr>
        <w:t xml:space="preserve">for tenure in </w:t>
      </w:r>
      <w:r w:rsidR="009D3886">
        <w:rPr>
          <w:sz w:val="24"/>
          <w:szCs w:val="24"/>
        </w:rPr>
        <w:t>the subsequent year</w:t>
      </w:r>
      <w:r w:rsidRPr="000500DE">
        <w:rPr>
          <w:sz w:val="24"/>
          <w:szCs w:val="24"/>
        </w:rPr>
        <w:t xml:space="preserve">; </w:t>
      </w:r>
      <w:r w:rsidR="00E65B89" w:rsidRPr="000500DE">
        <w:rPr>
          <w:sz w:val="24"/>
          <w:szCs w:val="24"/>
        </w:rPr>
        <w:t xml:space="preserve">and 2) </w:t>
      </w:r>
      <w:r w:rsidRPr="000500DE">
        <w:rPr>
          <w:sz w:val="24"/>
          <w:szCs w:val="24"/>
        </w:rPr>
        <w:t>Service Records</w:t>
      </w:r>
      <w:r w:rsidR="00E65B89" w:rsidRPr="000500DE">
        <w:rPr>
          <w:sz w:val="24"/>
          <w:szCs w:val="24"/>
        </w:rPr>
        <w:t xml:space="preserve"> that</w:t>
      </w:r>
      <w:r w:rsidRPr="000500DE">
        <w:rPr>
          <w:sz w:val="24"/>
          <w:szCs w:val="24"/>
        </w:rPr>
        <w:t xml:space="preserve"> provide the review schedules</w:t>
      </w:r>
      <w:r>
        <w:rPr>
          <w:sz w:val="24"/>
          <w:szCs w:val="24"/>
        </w:rPr>
        <w:t xml:space="preserve"> of each non-tenured faculty member</w:t>
      </w:r>
      <w:r w:rsidRPr="004243EE">
        <w:rPr>
          <w:sz w:val="24"/>
          <w:szCs w:val="24"/>
        </w:rPr>
        <w:t>.</w:t>
      </w:r>
      <w:r>
        <w:rPr>
          <w:sz w:val="24"/>
          <w:szCs w:val="24"/>
        </w:rPr>
        <w:t xml:space="preserve"> </w:t>
      </w:r>
      <w:r w:rsidRPr="004243EE">
        <w:rPr>
          <w:sz w:val="24"/>
          <w:szCs w:val="24"/>
        </w:rPr>
        <w:t xml:space="preserve">Typically on </w:t>
      </w:r>
      <w:r w:rsidR="00E65B89">
        <w:rPr>
          <w:sz w:val="24"/>
          <w:szCs w:val="24"/>
        </w:rPr>
        <w:t>the review</w:t>
      </w:r>
      <w:r w:rsidR="00E65B89" w:rsidRPr="004243EE">
        <w:rPr>
          <w:sz w:val="24"/>
          <w:szCs w:val="24"/>
        </w:rPr>
        <w:t xml:space="preserve"> </w:t>
      </w:r>
      <w:r w:rsidRPr="004243EE">
        <w:rPr>
          <w:sz w:val="24"/>
          <w:szCs w:val="24"/>
        </w:rPr>
        <w:t>list are: associate professors in their 6th counted year of service</w:t>
      </w:r>
      <w:r w:rsidR="00E413DD">
        <w:rPr>
          <w:sz w:val="24"/>
          <w:szCs w:val="24"/>
        </w:rPr>
        <w:t xml:space="preserve"> </w:t>
      </w:r>
      <w:proofErr w:type="gramStart"/>
      <w:r w:rsidRPr="004243EE">
        <w:rPr>
          <w:sz w:val="24"/>
          <w:szCs w:val="24"/>
        </w:rPr>
        <w:t>who</w:t>
      </w:r>
      <w:proofErr w:type="gramEnd"/>
      <w:r w:rsidRPr="004243EE">
        <w:rPr>
          <w:sz w:val="24"/>
          <w:szCs w:val="24"/>
        </w:rPr>
        <w:t xml:space="preserve"> were h</w:t>
      </w:r>
      <w:r>
        <w:rPr>
          <w:sz w:val="24"/>
          <w:szCs w:val="24"/>
        </w:rPr>
        <w:t>ired as assistant professors</w:t>
      </w:r>
      <w:r w:rsidR="00E413DD">
        <w:rPr>
          <w:sz w:val="24"/>
          <w:szCs w:val="24"/>
        </w:rPr>
        <w:t>,</w:t>
      </w:r>
      <w:r>
        <w:rPr>
          <w:sz w:val="24"/>
          <w:szCs w:val="24"/>
        </w:rPr>
        <w:t xml:space="preserve"> and</w:t>
      </w:r>
      <w:r w:rsidRPr="004243EE">
        <w:rPr>
          <w:sz w:val="24"/>
          <w:szCs w:val="24"/>
        </w:rPr>
        <w:t xml:space="preserve"> associate professors, hired as such, in their </w:t>
      </w:r>
      <w:r w:rsidR="00E413DD">
        <w:rPr>
          <w:sz w:val="24"/>
          <w:szCs w:val="24"/>
        </w:rPr>
        <w:t>second</w:t>
      </w:r>
      <w:r w:rsidRPr="004243EE">
        <w:rPr>
          <w:sz w:val="24"/>
          <w:szCs w:val="24"/>
        </w:rPr>
        <w:t xml:space="preserve"> or </w:t>
      </w:r>
      <w:r w:rsidR="00E413DD">
        <w:rPr>
          <w:sz w:val="24"/>
          <w:szCs w:val="24"/>
        </w:rPr>
        <w:t xml:space="preserve">third </w:t>
      </w:r>
      <w:r w:rsidRPr="004243EE">
        <w:rPr>
          <w:sz w:val="24"/>
          <w:szCs w:val="24"/>
        </w:rPr>
        <w:t>year o</w:t>
      </w:r>
      <w:r>
        <w:rPr>
          <w:sz w:val="24"/>
          <w:szCs w:val="24"/>
        </w:rPr>
        <w:t xml:space="preserve">f counted service. </w:t>
      </w:r>
    </w:p>
    <w:p w:rsidR="00A43E41" w:rsidRDefault="00A43E41" w:rsidP="00A43E41">
      <w:pPr>
        <w:rPr>
          <w:sz w:val="24"/>
          <w:szCs w:val="24"/>
        </w:rPr>
      </w:pPr>
      <w:r w:rsidRPr="004243EE">
        <w:rPr>
          <w:sz w:val="24"/>
          <w:szCs w:val="24"/>
        </w:rPr>
        <w:t xml:space="preserve">By </w:t>
      </w:r>
      <w:r>
        <w:rPr>
          <w:sz w:val="24"/>
          <w:szCs w:val="24"/>
        </w:rPr>
        <w:t xml:space="preserve">the beginning of December, if the department wishes to consider whether to </w:t>
      </w:r>
      <w:r w:rsidR="00E65B89">
        <w:rPr>
          <w:sz w:val="24"/>
          <w:szCs w:val="24"/>
        </w:rPr>
        <w:t>solicit referee letters for the candidate</w:t>
      </w:r>
      <w:r>
        <w:rPr>
          <w:sz w:val="24"/>
          <w:szCs w:val="24"/>
        </w:rPr>
        <w:t>, the department is asked to request</w:t>
      </w:r>
      <w:r w:rsidRPr="004243EE">
        <w:rPr>
          <w:sz w:val="24"/>
          <w:szCs w:val="24"/>
        </w:rPr>
        <w:t xml:space="preserve"> authorization from </w:t>
      </w:r>
      <w:r>
        <w:rPr>
          <w:sz w:val="24"/>
          <w:szCs w:val="24"/>
        </w:rPr>
        <w:t xml:space="preserve">the </w:t>
      </w:r>
      <w:r w:rsidRPr="004243EE">
        <w:rPr>
          <w:sz w:val="24"/>
          <w:szCs w:val="24"/>
        </w:rPr>
        <w:t>Executive Vice</w:t>
      </w:r>
      <w:r>
        <w:rPr>
          <w:sz w:val="24"/>
          <w:szCs w:val="24"/>
        </w:rPr>
        <w:t xml:space="preserve"> President to conduct a review. In its request, which is sent to the Office of Academic Affairs, </w:t>
      </w:r>
      <w:r w:rsidRPr="009C16A3">
        <w:rPr>
          <w:sz w:val="24"/>
          <w:szCs w:val="24"/>
        </w:rPr>
        <w:t>the department should provide</w:t>
      </w:r>
      <w:r w:rsidR="009C16A3">
        <w:rPr>
          <w:sz w:val="24"/>
          <w:szCs w:val="24"/>
        </w:rPr>
        <w:t xml:space="preserve">, </w:t>
      </w:r>
      <w:r w:rsidR="00D64359">
        <w:rPr>
          <w:sz w:val="24"/>
          <w:szCs w:val="24"/>
        </w:rPr>
        <w:t>for each candidate</w:t>
      </w:r>
      <w:r w:rsidR="009C16A3">
        <w:rPr>
          <w:sz w:val="24"/>
          <w:szCs w:val="24"/>
        </w:rPr>
        <w:t>,</w:t>
      </w:r>
      <w:r w:rsidR="00D64359">
        <w:rPr>
          <w:sz w:val="24"/>
          <w:szCs w:val="24"/>
        </w:rPr>
        <w:t xml:space="preserve"> </w:t>
      </w:r>
      <w:r w:rsidR="00D64359" w:rsidRPr="001948A6">
        <w:rPr>
          <w:sz w:val="24"/>
          <w:szCs w:val="24"/>
        </w:rPr>
        <w:t xml:space="preserve">information </w:t>
      </w:r>
      <w:r w:rsidR="00D64359">
        <w:rPr>
          <w:sz w:val="24"/>
          <w:szCs w:val="24"/>
        </w:rPr>
        <w:t xml:space="preserve">on the </w:t>
      </w:r>
      <w:r w:rsidR="00D64359" w:rsidRPr="001948A6">
        <w:rPr>
          <w:sz w:val="24"/>
          <w:szCs w:val="24"/>
        </w:rPr>
        <w:t>department</w:t>
      </w:r>
      <w:r w:rsidR="00D64359">
        <w:rPr>
          <w:sz w:val="24"/>
          <w:szCs w:val="24"/>
        </w:rPr>
        <w:t>’s need for a tenured appointment in the field of specialization</w:t>
      </w:r>
      <w:r w:rsidR="009C16A3">
        <w:rPr>
          <w:sz w:val="24"/>
          <w:szCs w:val="24"/>
        </w:rPr>
        <w:t xml:space="preserve">, </w:t>
      </w:r>
      <w:r w:rsidR="00D64359" w:rsidRPr="00EC233B">
        <w:rPr>
          <w:sz w:val="24"/>
          <w:szCs w:val="24"/>
        </w:rPr>
        <w:t>an initial assessment of the likelihood of the nomination</w:t>
      </w:r>
      <w:r w:rsidR="00E413DD">
        <w:rPr>
          <w:sz w:val="24"/>
          <w:szCs w:val="24"/>
        </w:rPr>
        <w:t>,</w:t>
      </w:r>
      <w:r w:rsidR="009C16A3">
        <w:rPr>
          <w:sz w:val="24"/>
          <w:szCs w:val="24"/>
        </w:rPr>
        <w:t xml:space="preserve"> and a</w:t>
      </w:r>
      <w:r>
        <w:rPr>
          <w:sz w:val="24"/>
          <w:szCs w:val="24"/>
        </w:rPr>
        <w:t xml:space="preserve"> preliminary assessment of the candidate’s qualifications for tenure. Normally within two weeks of receiving the department’s request, the </w:t>
      </w:r>
      <w:r w:rsidRPr="004243EE">
        <w:rPr>
          <w:sz w:val="24"/>
          <w:szCs w:val="24"/>
        </w:rPr>
        <w:t xml:space="preserve">Executive Vice President </w:t>
      </w:r>
      <w:r>
        <w:rPr>
          <w:sz w:val="24"/>
          <w:szCs w:val="24"/>
        </w:rPr>
        <w:t>will decide whether or not to authorize</w:t>
      </w:r>
      <w:r w:rsidRPr="004243EE">
        <w:rPr>
          <w:sz w:val="24"/>
          <w:szCs w:val="24"/>
        </w:rPr>
        <w:t xml:space="preserve"> the department to conduct a review. </w:t>
      </w:r>
    </w:p>
    <w:p w:rsidR="00A43E41" w:rsidRDefault="00A43E41" w:rsidP="00A43E41">
      <w:pPr>
        <w:rPr>
          <w:sz w:val="24"/>
          <w:szCs w:val="24"/>
        </w:rPr>
      </w:pPr>
      <w:r>
        <w:rPr>
          <w:sz w:val="24"/>
          <w:szCs w:val="24"/>
        </w:rPr>
        <w:t>By mid-January, the d</w:t>
      </w:r>
      <w:r w:rsidRPr="004243EE">
        <w:rPr>
          <w:sz w:val="24"/>
          <w:szCs w:val="24"/>
        </w:rPr>
        <w:t xml:space="preserve">epartment </w:t>
      </w:r>
      <w:r w:rsidR="002A4654">
        <w:rPr>
          <w:sz w:val="24"/>
          <w:szCs w:val="24"/>
        </w:rPr>
        <w:t xml:space="preserve">chair </w:t>
      </w:r>
      <w:r w:rsidRPr="004243EE">
        <w:rPr>
          <w:sz w:val="24"/>
          <w:szCs w:val="24"/>
        </w:rPr>
        <w:t xml:space="preserve">invites </w:t>
      </w:r>
      <w:r w:rsidR="00E65B89">
        <w:rPr>
          <w:sz w:val="24"/>
          <w:szCs w:val="24"/>
        </w:rPr>
        <w:t xml:space="preserve">the </w:t>
      </w:r>
      <w:r w:rsidRPr="004243EE">
        <w:rPr>
          <w:sz w:val="24"/>
          <w:szCs w:val="24"/>
        </w:rPr>
        <w:t xml:space="preserve">candidate to prepare dossier materials. </w:t>
      </w:r>
      <w:r>
        <w:rPr>
          <w:sz w:val="24"/>
          <w:szCs w:val="24"/>
        </w:rPr>
        <w:t>The department</w:t>
      </w:r>
      <w:r w:rsidR="002A4654">
        <w:rPr>
          <w:sz w:val="24"/>
          <w:szCs w:val="24"/>
        </w:rPr>
        <w:t xml:space="preserve"> chair’s</w:t>
      </w:r>
      <w:r>
        <w:rPr>
          <w:sz w:val="24"/>
          <w:szCs w:val="24"/>
        </w:rPr>
        <w:t xml:space="preserve"> w</w:t>
      </w:r>
      <w:r w:rsidRPr="004243EE">
        <w:rPr>
          <w:sz w:val="24"/>
          <w:szCs w:val="24"/>
        </w:rPr>
        <w:t>ritten invitation as</w:t>
      </w:r>
      <w:r>
        <w:rPr>
          <w:sz w:val="24"/>
          <w:szCs w:val="24"/>
        </w:rPr>
        <w:t xml:space="preserve">ks </w:t>
      </w:r>
      <w:r w:rsidR="00E65B89">
        <w:rPr>
          <w:sz w:val="24"/>
          <w:szCs w:val="24"/>
        </w:rPr>
        <w:t xml:space="preserve">the </w:t>
      </w:r>
      <w:r w:rsidR="00E413DD">
        <w:rPr>
          <w:sz w:val="24"/>
          <w:szCs w:val="24"/>
        </w:rPr>
        <w:t xml:space="preserve">candidate to submit </w:t>
      </w:r>
      <w:proofErr w:type="gramStart"/>
      <w:r w:rsidR="00E413DD">
        <w:rPr>
          <w:sz w:val="24"/>
          <w:szCs w:val="24"/>
        </w:rPr>
        <w:t>a</w:t>
      </w:r>
      <w:r w:rsidRPr="004243EE">
        <w:rPr>
          <w:sz w:val="24"/>
          <w:szCs w:val="24"/>
        </w:rPr>
        <w:t xml:space="preserve"> </w:t>
      </w:r>
      <w:r w:rsidR="009C16A3">
        <w:rPr>
          <w:sz w:val="24"/>
          <w:szCs w:val="24"/>
        </w:rPr>
        <w:t>curriculum</w:t>
      </w:r>
      <w:proofErr w:type="gramEnd"/>
      <w:r w:rsidR="009C16A3">
        <w:rPr>
          <w:sz w:val="24"/>
          <w:szCs w:val="24"/>
        </w:rPr>
        <w:t xml:space="preserve"> vitae, </w:t>
      </w:r>
      <w:r w:rsidR="004127D5">
        <w:rPr>
          <w:sz w:val="24"/>
          <w:szCs w:val="24"/>
        </w:rPr>
        <w:t>a</w:t>
      </w:r>
      <w:r w:rsidR="004127D5" w:rsidRPr="004127D5">
        <w:rPr>
          <w:sz w:val="24"/>
          <w:szCs w:val="24"/>
        </w:rPr>
        <w:t xml:space="preserve"> representative set of written w</w:t>
      </w:r>
      <w:r w:rsidR="004127D5">
        <w:rPr>
          <w:sz w:val="24"/>
          <w:szCs w:val="24"/>
        </w:rPr>
        <w:t xml:space="preserve">ork, published and unpublished, </w:t>
      </w:r>
      <w:r w:rsidR="009C16A3">
        <w:rPr>
          <w:sz w:val="24"/>
          <w:szCs w:val="24"/>
        </w:rPr>
        <w:t>a</w:t>
      </w:r>
      <w:r w:rsidR="004127D5">
        <w:rPr>
          <w:sz w:val="24"/>
          <w:szCs w:val="24"/>
        </w:rPr>
        <w:t xml:space="preserve">nd </w:t>
      </w:r>
      <w:r w:rsidR="009C16A3">
        <w:rPr>
          <w:sz w:val="24"/>
          <w:szCs w:val="24"/>
        </w:rPr>
        <w:t xml:space="preserve">a </w:t>
      </w:r>
      <w:r w:rsidR="009C16A3" w:rsidRPr="009C16A3">
        <w:rPr>
          <w:sz w:val="24"/>
          <w:szCs w:val="24"/>
        </w:rPr>
        <w:t>brief statement of no more than 5-10 pages that discusses his or her current research and teaching</w:t>
      </w:r>
      <w:r w:rsidR="009C16A3">
        <w:rPr>
          <w:sz w:val="24"/>
          <w:szCs w:val="24"/>
        </w:rPr>
        <w:t xml:space="preserve"> and plans for future projects</w:t>
      </w:r>
      <w:r w:rsidRPr="004243EE">
        <w:rPr>
          <w:sz w:val="24"/>
          <w:szCs w:val="24"/>
        </w:rPr>
        <w:t>.</w:t>
      </w:r>
      <w:r>
        <w:rPr>
          <w:sz w:val="24"/>
          <w:szCs w:val="24"/>
        </w:rPr>
        <w:t xml:space="preserve"> At the </w:t>
      </w:r>
      <w:r w:rsidR="009D3886">
        <w:rPr>
          <w:sz w:val="24"/>
          <w:szCs w:val="24"/>
        </w:rPr>
        <w:t>department’s</w:t>
      </w:r>
      <w:r>
        <w:rPr>
          <w:sz w:val="24"/>
          <w:szCs w:val="24"/>
        </w:rPr>
        <w:t xml:space="preserve"> discretion, deadlines for the c</w:t>
      </w:r>
      <w:r w:rsidRPr="004243EE">
        <w:rPr>
          <w:sz w:val="24"/>
          <w:szCs w:val="24"/>
        </w:rPr>
        <w:t>andidate</w:t>
      </w:r>
      <w:r>
        <w:rPr>
          <w:sz w:val="24"/>
          <w:szCs w:val="24"/>
        </w:rPr>
        <w:t>s to submit</w:t>
      </w:r>
      <w:r w:rsidRPr="004243EE">
        <w:rPr>
          <w:sz w:val="24"/>
          <w:szCs w:val="24"/>
        </w:rPr>
        <w:t xml:space="preserve"> dossier materials to </w:t>
      </w:r>
      <w:r w:rsidR="00E65B89">
        <w:rPr>
          <w:sz w:val="24"/>
          <w:szCs w:val="24"/>
        </w:rPr>
        <w:t xml:space="preserve">the </w:t>
      </w:r>
      <w:r w:rsidRPr="004243EE">
        <w:rPr>
          <w:sz w:val="24"/>
          <w:szCs w:val="24"/>
        </w:rPr>
        <w:t>department</w:t>
      </w:r>
      <w:r>
        <w:rPr>
          <w:sz w:val="24"/>
          <w:szCs w:val="24"/>
        </w:rPr>
        <w:t xml:space="preserve"> may be anywhere f</w:t>
      </w:r>
      <w:r w:rsidRPr="004243EE">
        <w:rPr>
          <w:sz w:val="24"/>
          <w:szCs w:val="24"/>
        </w:rPr>
        <w:t>r</w:t>
      </w:r>
      <w:r>
        <w:rPr>
          <w:sz w:val="24"/>
          <w:szCs w:val="24"/>
        </w:rPr>
        <w:t xml:space="preserve">om </w:t>
      </w:r>
      <w:r w:rsidR="00FF2B90">
        <w:rPr>
          <w:sz w:val="24"/>
          <w:szCs w:val="24"/>
        </w:rPr>
        <w:t xml:space="preserve">the beginning of </w:t>
      </w:r>
      <w:r>
        <w:rPr>
          <w:sz w:val="24"/>
          <w:szCs w:val="24"/>
        </w:rPr>
        <w:t>February</w:t>
      </w:r>
      <w:r w:rsidRPr="00D6651C">
        <w:rPr>
          <w:sz w:val="24"/>
          <w:szCs w:val="24"/>
        </w:rPr>
        <w:t xml:space="preserve"> to</w:t>
      </w:r>
      <w:r w:rsidR="00FF2B90">
        <w:rPr>
          <w:sz w:val="24"/>
          <w:szCs w:val="24"/>
        </w:rPr>
        <w:t xml:space="preserve"> the third week of</w:t>
      </w:r>
      <w:r w:rsidRPr="00D6651C">
        <w:rPr>
          <w:sz w:val="24"/>
          <w:szCs w:val="24"/>
        </w:rPr>
        <w:t xml:space="preserve"> March</w:t>
      </w:r>
      <w:r>
        <w:rPr>
          <w:sz w:val="24"/>
          <w:szCs w:val="24"/>
        </w:rPr>
        <w:t>.</w:t>
      </w:r>
    </w:p>
    <w:p w:rsidR="00A43E41" w:rsidRDefault="00A43E41" w:rsidP="00A43E41">
      <w:pPr>
        <w:rPr>
          <w:sz w:val="24"/>
          <w:szCs w:val="24"/>
        </w:rPr>
      </w:pPr>
      <w:r>
        <w:rPr>
          <w:sz w:val="24"/>
          <w:szCs w:val="24"/>
        </w:rPr>
        <w:lastRenderedPageBreak/>
        <w:t xml:space="preserve">By the </w:t>
      </w:r>
      <w:r w:rsidR="00B51D9B">
        <w:rPr>
          <w:sz w:val="24"/>
          <w:szCs w:val="24"/>
        </w:rPr>
        <w:t>beginning of April</w:t>
      </w:r>
      <w:r>
        <w:rPr>
          <w:sz w:val="24"/>
          <w:szCs w:val="24"/>
        </w:rPr>
        <w:t xml:space="preserve">, the </w:t>
      </w:r>
      <w:r w:rsidRPr="004243EE">
        <w:rPr>
          <w:sz w:val="24"/>
          <w:szCs w:val="24"/>
        </w:rPr>
        <w:t xml:space="preserve">department </w:t>
      </w:r>
      <w:r w:rsidR="002876A9">
        <w:rPr>
          <w:sz w:val="24"/>
          <w:szCs w:val="24"/>
        </w:rPr>
        <w:t>decide</w:t>
      </w:r>
      <w:r w:rsidRPr="004243EE">
        <w:rPr>
          <w:sz w:val="24"/>
          <w:szCs w:val="24"/>
        </w:rPr>
        <w:t xml:space="preserve">s whether to proceed to </w:t>
      </w:r>
      <w:r>
        <w:rPr>
          <w:sz w:val="24"/>
          <w:szCs w:val="24"/>
        </w:rPr>
        <w:t>the letter</w:t>
      </w:r>
      <w:r w:rsidR="00E65B89">
        <w:rPr>
          <w:sz w:val="24"/>
          <w:szCs w:val="24"/>
        </w:rPr>
        <w:t>-</w:t>
      </w:r>
      <w:r>
        <w:rPr>
          <w:sz w:val="24"/>
          <w:szCs w:val="24"/>
        </w:rPr>
        <w:t xml:space="preserve">writing stage and </w:t>
      </w:r>
      <w:r w:rsidRPr="004243EE">
        <w:rPr>
          <w:sz w:val="24"/>
          <w:szCs w:val="24"/>
        </w:rPr>
        <w:t xml:space="preserve">notifies </w:t>
      </w:r>
      <w:r>
        <w:rPr>
          <w:sz w:val="24"/>
          <w:szCs w:val="24"/>
        </w:rPr>
        <w:t xml:space="preserve">the Office of Academic Affairs </w:t>
      </w:r>
      <w:r w:rsidRPr="004243EE">
        <w:rPr>
          <w:sz w:val="24"/>
          <w:szCs w:val="24"/>
        </w:rPr>
        <w:t>of its decision.</w:t>
      </w:r>
    </w:p>
    <w:p w:rsidR="00A43E41" w:rsidRPr="0065577F" w:rsidRDefault="00A43E41" w:rsidP="00A43E41">
      <w:pPr>
        <w:rPr>
          <w:i/>
          <w:sz w:val="24"/>
          <w:szCs w:val="24"/>
        </w:rPr>
      </w:pPr>
      <w:r>
        <w:rPr>
          <w:i/>
          <w:sz w:val="24"/>
          <w:szCs w:val="24"/>
        </w:rPr>
        <w:t>External Promotions to Tenure</w:t>
      </w:r>
    </w:p>
    <w:p w:rsidR="00A43E41" w:rsidRDefault="00A43E41" w:rsidP="00A43E41">
      <w:pPr>
        <w:rPr>
          <w:sz w:val="24"/>
          <w:szCs w:val="24"/>
        </w:rPr>
      </w:pPr>
      <w:r>
        <w:rPr>
          <w:sz w:val="24"/>
          <w:szCs w:val="24"/>
        </w:rPr>
        <w:t xml:space="preserve">For external promotions to tenure, the tenure review process begins when the department has completed the </w:t>
      </w:r>
      <w:r w:rsidR="000F1B17">
        <w:rPr>
          <w:sz w:val="24"/>
          <w:szCs w:val="24"/>
        </w:rPr>
        <w:t xml:space="preserve">recruitment </w:t>
      </w:r>
      <w:r>
        <w:rPr>
          <w:sz w:val="24"/>
          <w:szCs w:val="24"/>
        </w:rPr>
        <w:t xml:space="preserve">process. </w:t>
      </w:r>
    </w:p>
    <w:p w:rsidR="002876A9" w:rsidRPr="002876A9" w:rsidRDefault="00A43E41" w:rsidP="00A43E41">
      <w:pPr>
        <w:rPr>
          <w:sz w:val="24"/>
          <w:szCs w:val="24"/>
        </w:rPr>
      </w:pPr>
      <w:r w:rsidRPr="00BD57B7">
        <w:rPr>
          <w:sz w:val="24"/>
          <w:szCs w:val="24"/>
        </w:rPr>
        <w:t xml:space="preserve">Every effort should be made to identify external candidates as early as possible in the academic year. </w:t>
      </w:r>
      <w:r w:rsidR="00076305" w:rsidRPr="00BD57B7">
        <w:rPr>
          <w:sz w:val="24"/>
          <w:szCs w:val="24"/>
        </w:rPr>
        <w:t xml:space="preserve">The University, along with most other major universities, endorses the AAUP policy guideline that sets May 15th as the last date </w:t>
      </w:r>
      <w:r w:rsidR="00E65B89" w:rsidRPr="00BD57B7">
        <w:rPr>
          <w:sz w:val="24"/>
          <w:szCs w:val="24"/>
        </w:rPr>
        <w:t xml:space="preserve">on which </w:t>
      </w:r>
      <w:r w:rsidR="00076305" w:rsidRPr="00BD57B7">
        <w:rPr>
          <w:sz w:val="24"/>
          <w:szCs w:val="24"/>
        </w:rPr>
        <w:t xml:space="preserve">an offer can be made to a faculty member at another institution for appointment the following </w:t>
      </w:r>
      <w:r w:rsidR="00E413DD">
        <w:rPr>
          <w:sz w:val="24"/>
          <w:szCs w:val="24"/>
        </w:rPr>
        <w:t>f</w:t>
      </w:r>
      <w:r w:rsidR="00076305" w:rsidRPr="00BD57B7">
        <w:rPr>
          <w:sz w:val="24"/>
          <w:szCs w:val="24"/>
        </w:rPr>
        <w:t xml:space="preserve">all.  The offer cannot be contingent upon a favorable outcome of a tenure review.  To meet the AAUP deadline, chairs and deans should send the Office of the Executive Vice President the nominations and dossiers for their external candidates by February </w:t>
      </w:r>
      <w:r w:rsidR="002A4654">
        <w:rPr>
          <w:sz w:val="24"/>
          <w:szCs w:val="24"/>
        </w:rPr>
        <w:t>17</w:t>
      </w:r>
      <w:r w:rsidR="00076305" w:rsidRPr="00BD57B7">
        <w:rPr>
          <w:sz w:val="24"/>
          <w:szCs w:val="24"/>
        </w:rPr>
        <w:t xml:space="preserve">.  Recognizing that negotiations with faculty at other universities can be protracted and delicate, the PTC will attempt to conduct evaluations of external candidates nominated after that date.  </w:t>
      </w:r>
      <w:r w:rsidR="00505C51" w:rsidRPr="002876A9">
        <w:rPr>
          <w:sz w:val="24"/>
          <w:szCs w:val="24"/>
        </w:rPr>
        <w:t>However, if the review cannot be conducted by TRAC by May 15</w:t>
      </w:r>
      <w:r w:rsidR="00505C51" w:rsidRPr="002876A9">
        <w:rPr>
          <w:sz w:val="24"/>
          <w:szCs w:val="24"/>
          <w:vertAlign w:val="superscript"/>
        </w:rPr>
        <w:t>th</w:t>
      </w:r>
      <w:r w:rsidR="00505C51" w:rsidRPr="002876A9">
        <w:rPr>
          <w:sz w:val="24"/>
          <w:szCs w:val="24"/>
        </w:rPr>
        <w:t xml:space="preserve">, the </w:t>
      </w:r>
      <w:r w:rsidR="00E413DD">
        <w:rPr>
          <w:sz w:val="24"/>
          <w:szCs w:val="24"/>
        </w:rPr>
        <w:t>Executive Vice President</w:t>
      </w:r>
      <w:r w:rsidR="00505C51" w:rsidRPr="002876A9">
        <w:rPr>
          <w:sz w:val="24"/>
          <w:szCs w:val="24"/>
        </w:rPr>
        <w:t xml:space="preserve"> will have to obtain a waiver of the AAUP’s deadline from the candidate’s institution before it can occur.</w:t>
      </w:r>
    </w:p>
    <w:p w:rsidR="00E240D2" w:rsidRDefault="00E240D2" w:rsidP="00A43E41">
      <w:pPr>
        <w:rPr>
          <w:b/>
          <w:sz w:val="24"/>
          <w:szCs w:val="24"/>
        </w:rPr>
      </w:pPr>
      <w:r>
        <w:rPr>
          <w:b/>
          <w:sz w:val="24"/>
          <w:szCs w:val="24"/>
        </w:rPr>
        <w:t>Submission of Preliminary Review Materials</w:t>
      </w:r>
    </w:p>
    <w:p w:rsidR="00A43E41" w:rsidRPr="004243EE" w:rsidRDefault="00A43E41" w:rsidP="00A43E41">
      <w:pPr>
        <w:rPr>
          <w:sz w:val="24"/>
          <w:szCs w:val="24"/>
        </w:rPr>
      </w:pPr>
      <w:r>
        <w:rPr>
          <w:sz w:val="24"/>
          <w:szCs w:val="24"/>
        </w:rPr>
        <w:t>Once the department has decided to forward the candidate to the letter</w:t>
      </w:r>
      <w:r w:rsidR="00E65B89">
        <w:rPr>
          <w:sz w:val="24"/>
          <w:szCs w:val="24"/>
        </w:rPr>
        <w:t>-</w:t>
      </w:r>
      <w:r>
        <w:rPr>
          <w:sz w:val="24"/>
          <w:szCs w:val="24"/>
        </w:rPr>
        <w:t>writing stage, the d</w:t>
      </w:r>
      <w:r w:rsidRPr="004243EE">
        <w:rPr>
          <w:sz w:val="24"/>
          <w:szCs w:val="24"/>
        </w:rPr>
        <w:t xml:space="preserve">epartment </w:t>
      </w:r>
      <w:r w:rsidRPr="00350ABA">
        <w:rPr>
          <w:sz w:val="24"/>
          <w:szCs w:val="24"/>
        </w:rPr>
        <w:t xml:space="preserve">submits </w:t>
      </w:r>
      <w:r w:rsidR="002B05D7">
        <w:rPr>
          <w:sz w:val="24"/>
          <w:szCs w:val="24"/>
        </w:rPr>
        <w:t>the</w:t>
      </w:r>
      <w:r w:rsidR="00350ABA">
        <w:rPr>
          <w:sz w:val="24"/>
          <w:szCs w:val="24"/>
        </w:rPr>
        <w:t xml:space="preserve"> </w:t>
      </w:r>
      <w:r w:rsidRPr="00350ABA">
        <w:rPr>
          <w:sz w:val="24"/>
          <w:szCs w:val="24"/>
        </w:rPr>
        <w:t>following</w:t>
      </w:r>
      <w:r>
        <w:rPr>
          <w:sz w:val="24"/>
          <w:szCs w:val="24"/>
        </w:rPr>
        <w:t xml:space="preserve"> materials to</w:t>
      </w:r>
      <w:r w:rsidR="002876A9">
        <w:rPr>
          <w:sz w:val="24"/>
          <w:szCs w:val="24"/>
        </w:rPr>
        <w:t xml:space="preserve"> the Office of Academic Affairs</w:t>
      </w:r>
      <w:r>
        <w:rPr>
          <w:sz w:val="24"/>
          <w:szCs w:val="24"/>
        </w:rPr>
        <w:t xml:space="preserve"> b</w:t>
      </w:r>
      <w:r w:rsidRPr="004243EE">
        <w:rPr>
          <w:sz w:val="24"/>
          <w:szCs w:val="24"/>
        </w:rPr>
        <w:t>y</w:t>
      </w:r>
      <w:r w:rsidR="002876A9">
        <w:rPr>
          <w:sz w:val="24"/>
          <w:szCs w:val="24"/>
        </w:rPr>
        <w:t xml:space="preserve"> the first week of April</w:t>
      </w:r>
      <w:r>
        <w:rPr>
          <w:sz w:val="24"/>
          <w:szCs w:val="24"/>
        </w:rPr>
        <w:t xml:space="preserve"> in the case of internal candidates for promotion to tenure</w:t>
      </w:r>
      <w:r w:rsidR="002876A9">
        <w:rPr>
          <w:sz w:val="24"/>
          <w:szCs w:val="24"/>
        </w:rPr>
        <w:t xml:space="preserve"> </w:t>
      </w:r>
      <w:r>
        <w:rPr>
          <w:sz w:val="24"/>
          <w:szCs w:val="24"/>
        </w:rPr>
        <w:t xml:space="preserve"> </w:t>
      </w:r>
      <w:r w:rsidR="002876A9">
        <w:rPr>
          <w:sz w:val="24"/>
          <w:szCs w:val="24"/>
        </w:rPr>
        <w:t xml:space="preserve">and as </w:t>
      </w:r>
      <w:r>
        <w:rPr>
          <w:sz w:val="24"/>
          <w:szCs w:val="24"/>
        </w:rPr>
        <w:t>s</w:t>
      </w:r>
      <w:r w:rsidR="001B39A2">
        <w:rPr>
          <w:sz w:val="24"/>
          <w:szCs w:val="24"/>
        </w:rPr>
        <w:t>oon as is feasible</w:t>
      </w:r>
      <w:r>
        <w:rPr>
          <w:sz w:val="24"/>
          <w:szCs w:val="24"/>
        </w:rPr>
        <w:t xml:space="preserve"> in the case of external candidates for tenure</w:t>
      </w:r>
      <w:r w:rsidR="001B39A2">
        <w:rPr>
          <w:sz w:val="24"/>
          <w:szCs w:val="24"/>
        </w:rPr>
        <w:t>d appointments</w:t>
      </w:r>
      <w:r w:rsidRPr="004243EE">
        <w:rPr>
          <w:sz w:val="24"/>
          <w:szCs w:val="24"/>
        </w:rPr>
        <w:t xml:space="preserve">: </w:t>
      </w:r>
    </w:p>
    <w:p w:rsidR="00A43E41" w:rsidRPr="004243EE" w:rsidRDefault="00A43E41" w:rsidP="00A43E41">
      <w:pPr>
        <w:rPr>
          <w:sz w:val="24"/>
          <w:szCs w:val="24"/>
        </w:rPr>
      </w:pPr>
      <w:r w:rsidRPr="004243EE">
        <w:rPr>
          <w:sz w:val="24"/>
          <w:szCs w:val="24"/>
        </w:rPr>
        <w:t xml:space="preserve">1) </w:t>
      </w:r>
      <w:proofErr w:type="gramStart"/>
      <w:r w:rsidR="00E413DD">
        <w:rPr>
          <w:sz w:val="24"/>
          <w:szCs w:val="24"/>
        </w:rPr>
        <w:t>a</w:t>
      </w:r>
      <w:proofErr w:type="gramEnd"/>
      <w:r w:rsidRPr="004243EE">
        <w:rPr>
          <w:sz w:val="24"/>
          <w:szCs w:val="24"/>
        </w:rPr>
        <w:t xml:space="preserve"> curriculum vitae (</w:t>
      </w:r>
      <w:proofErr w:type="spellStart"/>
      <w:r w:rsidRPr="004243EE">
        <w:rPr>
          <w:sz w:val="24"/>
          <w:szCs w:val="24"/>
        </w:rPr>
        <w:t>cv</w:t>
      </w:r>
      <w:proofErr w:type="spellEnd"/>
      <w:r w:rsidRPr="004243EE">
        <w:rPr>
          <w:sz w:val="24"/>
          <w:szCs w:val="24"/>
        </w:rPr>
        <w:t xml:space="preserve">) for the candidate; </w:t>
      </w:r>
    </w:p>
    <w:p w:rsidR="00A43E41" w:rsidRPr="004243EE" w:rsidRDefault="00A43E41" w:rsidP="00A43E41">
      <w:pPr>
        <w:rPr>
          <w:sz w:val="24"/>
          <w:szCs w:val="24"/>
        </w:rPr>
      </w:pPr>
      <w:r w:rsidRPr="004243EE">
        <w:rPr>
          <w:sz w:val="24"/>
          <w:szCs w:val="24"/>
        </w:rPr>
        <w:t xml:space="preserve">2) </w:t>
      </w:r>
      <w:proofErr w:type="gramStart"/>
      <w:r w:rsidRPr="004243EE">
        <w:rPr>
          <w:sz w:val="24"/>
          <w:szCs w:val="24"/>
        </w:rPr>
        <w:t>a</w:t>
      </w:r>
      <w:proofErr w:type="gramEnd"/>
      <w:r w:rsidRPr="004243EE">
        <w:rPr>
          <w:sz w:val="24"/>
          <w:szCs w:val="24"/>
        </w:rPr>
        <w:t xml:space="preserve"> list of three </w:t>
      </w:r>
      <w:r w:rsidR="001D5869" w:rsidRPr="001D5869">
        <w:rPr>
          <w:sz w:val="24"/>
          <w:szCs w:val="24"/>
        </w:rPr>
        <w:t>scholar</w:t>
      </w:r>
      <w:r w:rsidR="00B90D5D">
        <w:rPr>
          <w:sz w:val="24"/>
          <w:szCs w:val="24"/>
        </w:rPr>
        <w:t>s at other institutions</w:t>
      </w:r>
      <w:r w:rsidR="001D5869" w:rsidRPr="001D5869">
        <w:rPr>
          <w:sz w:val="24"/>
          <w:szCs w:val="24"/>
        </w:rPr>
        <w:t xml:space="preserve"> familiar with the cand</w:t>
      </w:r>
      <w:r w:rsidR="00B90D5D">
        <w:rPr>
          <w:sz w:val="24"/>
          <w:szCs w:val="24"/>
        </w:rPr>
        <w:t>idate's field of specialization</w:t>
      </w:r>
      <w:r w:rsidR="001D5869">
        <w:rPr>
          <w:sz w:val="24"/>
          <w:szCs w:val="24"/>
        </w:rPr>
        <w:t xml:space="preserve"> whom the Executive Vice President might consult;</w:t>
      </w:r>
    </w:p>
    <w:p w:rsidR="00A43E41" w:rsidRPr="004243EE" w:rsidRDefault="00A43E41" w:rsidP="00A43E41">
      <w:pPr>
        <w:rPr>
          <w:sz w:val="24"/>
          <w:szCs w:val="24"/>
        </w:rPr>
      </w:pPr>
      <w:r w:rsidRPr="004243EE">
        <w:rPr>
          <w:sz w:val="24"/>
          <w:szCs w:val="24"/>
        </w:rPr>
        <w:t xml:space="preserve">3) </w:t>
      </w:r>
      <w:proofErr w:type="gramStart"/>
      <w:r w:rsidRPr="004243EE">
        <w:rPr>
          <w:sz w:val="24"/>
          <w:szCs w:val="24"/>
        </w:rPr>
        <w:t>an</w:t>
      </w:r>
      <w:proofErr w:type="gramEnd"/>
      <w:r w:rsidRPr="004243EE">
        <w:rPr>
          <w:sz w:val="24"/>
          <w:szCs w:val="24"/>
        </w:rPr>
        <w:t xml:space="preserve"> annotated list of 18-20 referees to whom the Executive Vice President might write for letters; </w:t>
      </w:r>
    </w:p>
    <w:p w:rsidR="00A43E41" w:rsidRDefault="00A43E41" w:rsidP="00A43E41">
      <w:pPr>
        <w:rPr>
          <w:sz w:val="24"/>
          <w:szCs w:val="24"/>
        </w:rPr>
      </w:pPr>
      <w:r w:rsidRPr="004243EE">
        <w:rPr>
          <w:sz w:val="24"/>
          <w:szCs w:val="24"/>
        </w:rPr>
        <w:t xml:space="preserve">4) </w:t>
      </w:r>
      <w:proofErr w:type="gramStart"/>
      <w:r w:rsidRPr="004243EE">
        <w:rPr>
          <w:sz w:val="24"/>
          <w:szCs w:val="24"/>
        </w:rPr>
        <w:t>an</w:t>
      </w:r>
      <w:proofErr w:type="gramEnd"/>
      <w:r w:rsidRPr="004243EE">
        <w:rPr>
          <w:sz w:val="24"/>
          <w:szCs w:val="24"/>
        </w:rPr>
        <w:t xml:space="preserve"> annotated list of 5-6  </w:t>
      </w:r>
      <w:r w:rsidR="001D5869" w:rsidRPr="001D5869">
        <w:rPr>
          <w:sz w:val="24"/>
          <w:szCs w:val="24"/>
        </w:rPr>
        <w:t xml:space="preserve">scholars in </w:t>
      </w:r>
      <w:r w:rsidR="001D5869">
        <w:rPr>
          <w:sz w:val="24"/>
          <w:szCs w:val="24"/>
        </w:rPr>
        <w:t>the candidate’s</w:t>
      </w:r>
      <w:r w:rsidR="001D5869" w:rsidRPr="001D5869">
        <w:rPr>
          <w:sz w:val="24"/>
          <w:szCs w:val="24"/>
        </w:rPr>
        <w:t xml:space="preserve"> field</w:t>
      </w:r>
      <w:r w:rsidRPr="00E54F85">
        <w:rPr>
          <w:color w:val="FF0000"/>
          <w:sz w:val="24"/>
          <w:szCs w:val="24"/>
        </w:rPr>
        <w:t xml:space="preserve"> </w:t>
      </w:r>
      <w:r w:rsidR="001D5869" w:rsidRPr="001D5869">
        <w:rPr>
          <w:sz w:val="24"/>
          <w:szCs w:val="24"/>
        </w:rPr>
        <w:t>with whom he or she</w:t>
      </w:r>
      <w:r w:rsidRPr="001D5869">
        <w:rPr>
          <w:sz w:val="24"/>
          <w:szCs w:val="24"/>
        </w:rPr>
        <w:t xml:space="preserve"> might b</w:t>
      </w:r>
      <w:r w:rsidR="00E413DD">
        <w:rPr>
          <w:sz w:val="24"/>
          <w:szCs w:val="24"/>
        </w:rPr>
        <w:t>e compared;</w:t>
      </w:r>
    </w:p>
    <w:p w:rsidR="00171962" w:rsidRDefault="00171962" w:rsidP="00A43E41">
      <w:pPr>
        <w:rPr>
          <w:sz w:val="24"/>
          <w:szCs w:val="24"/>
        </w:rPr>
      </w:pPr>
      <w:r>
        <w:rPr>
          <w:sz w:val="24"/>
          <w:szCs w:val="24"/>
        </w:rPr>
        <w:t>5) a list of 4 members of the Columbia faculty with expertise in the candidate’s field or in fields cognate with the candidate’s, who may be appointed by the Executive Vice President to serve on the PTC sub</w:t>
      </w:r>
      <w:r w:rsidR="00633B31">
        <w:rPr>
          <w:sz w:val="24"/>
          <w:szCs w:val="24"/>
        </w:rPr>
        <w:t>panel</w:t>
      </w:r>
      <w:r w:rsidR="00E413DD">
        <w:rPr>
          <w:sz w:val="24"/>
          <w:szCs w:val="24"/>
        </w:rPr>
        <w:t xml:space="preserve"> for the candidate’s review;</w:t>
      </w:r>
    </w:p>
    <w:p w:rsidR="00133DE6" w:rsidRPr="001D5869" w:rsidRDefault="00133DE6" w:rsidP="00A43E41">
      <w:pPr>
        <w:rPr>
          <w:sz w:val="24"/>
          <w:szCs w:val="24"/>
        </w:rPr>
      </w:pPr>
      <w:r>
        <w:rPr>
          <w:sz w:val="24"/>
          <w:szCs w:val="24"/>
        </w:rPr>
        <w:t xml:space="preserve">6) </w:t>
      </w:r>
      <w:proofErr w:type="gramStart"/>
      <w:r>
        <w:rPr>
          <w:sz w:val="24"/>
          <w:szCs w:val="24"/>
        </w:rPr>
        <w:t>a</w:t>
      </w:r>
      <w:proofErr w:type="gramEnd"/>
      <w:r>
        <w:rPr>
          <w:sz w:val="24"/>
          <w:szCs w:val="24"/>
        </w:rPr>
        <w:t xml:space="preserve"> description of the candidate’s field(s) of study.</w:t>
      </w:r>
    </w:p>
    <w:p w:rsidR="00E240D2" w:rsidRPr="0057388B" w:rsidRDefault="00E240D2" w:rsidP="00E240D2">
      <w:pPr>
        <w:rPr>
          <w:b/>
          <w:sz w:val="24"/>
          <w:szCs w:val="24"/>
        </w:rPr>
      </w:pPr>
      <w:r w:rsidRPr="0057388B">
        <w:rPr>
          <w:b/>
          <w:sz w:val="24"/>
          <w:szCs w:val="24"/>
        </w:rPr>
        <w:lastRenderedPageBreak/>
        <w:t>Solicitation of Referee Letters</w:t>
      </w:r>
    </w:p>
    <w:p w:rsidR="00E240D2" w:rsidRDefault="001D5869" w:rsidP="001D5869">
      <w:pPr>
        <w:rPr>
          <w:sz w:val="24"/>
          <w:szCs w:val="24"/>
        </w:rPr>
      </w:pPr>
      <w:r>
        <w:rPr>
          <w:sz w:val="24"/>
          <w:szCs w:val="24"/>
        </w:rPr>
        <w:t xml:space="preserve">Once </w:t>
      </w:r>
      <w:r w:rsidR="00A43E41">
        <w:rPr>
          <w:sz w:val="24"/>
          <w:szCs w:val="24"/>
        </w:rPr>
        <w:t>the list</w:t>
      </w:r>
      <w:r>
        <w:rPr>
          <w:sz w:val="24"/>
          <w:szCs w:val="24"/>
        </w:rPr>
        <w:t>s have been vetted</w:t>
      </w:r>
      <w:r w:rsidR="00A43E41">
        <w:rPr>
          <w:sz w:val="24"/>
          <w:szCs w:val="24"/>
        </w:rPr>
        <w:t>, the Executive Assistant to the Executive Vice President for Arts and Science</w:t>
      </w:r>
      <w:r w:rsidR="002876A9">
        <w:rPr>
          <w:sz w:val="24"/>
          <w:szCs w:val="24"/>
        </w:rPr>
        <w:t>s pr</w:t>
      </w:r>
      <w:r w:rsidR="00A43E41">
        <w:rPr>
          <w:sz w:val="24"/>
          <w:szCs w:val="24"/>
        </w:rPr>
        <w:t xml:space="preserve">epares to solicit the referee letters. Before sending the letters, she asks the chair to </w:t>
      </w:r>
      <w:r w:rsidR="00505C51">
        <w:rPr>
          <w:sz w:val="24"/>
          <w:szCs w:val="24"/>
        </w:rPr>
        <w:t xml:space="preserve">review </w:t>
      </w:r>
      <w:r w:rsidR="00A43E41">
        <w:rPr>
          <w:sz w:val="24"/>
          <w:szCs w:val="24"/>
        </w:rPr>
        <w:t xml:space="preserve">the </w:t>
      </w:r>
      <w:r w:rsidR="00505C51">
        <w:rPr>
          <w:sz w:val="24"/>
          <w:szCs w:val="24"/>
        </w:rPr>
        <w:t xml:space="preserve">draft of the </w:t>
      </w:r>
      <w:r w:rsidR="00A43E41">
        <w:rPr>
          <w:sz w:val="24"/>
          <w:szCs w:val="24"/>
        </w:rPr>
        <w:t xml:space="preserve">referee letter, </w:t>
      </w:r>
      <w:r w:rsidR="00E65B89">
        <w:rPr>
          <w:sz w:val="24"/>
          <w:szCs w:val="24"/>
        </w:rPr>
        <w:t xml:space="preserve">with </w:t>
      </w:r>
      <w:r w:rsidR="00A43E41">
        <w:rPr>
          <w:sz w:val="24"/>
          <w:szCs w:val="24"/>
        </w:rPr>
        <w:t>particular</w:t>
      </w:r>
      <w:r w:rsidR="00C4711F">
        <w:rPr>
          <w:sz w:val="24"/>
          <w:szCs w:val="24"/>
        </w:rPr>
        <w:t xml:space="preserve"> </w:t>
      </w:r>
      <w:r w:rsidR="00E65B89">
        <w:rPr>
          <w:sz w:val="24"/>
          <w:szCs w:val="24"/>
        </w:rPr>
        <w:t>reference to</w:t>
      </w:r>
      <w:r w:rsidR="00A43E41">
        <w:rPr>
          <w:sz w:val="24"/>
          <w:szCs w:val="24"/>
        </w:rPr>
        <w:t xml:space="preserve"> the deadline for the receipt of letters. </w:t>
      </w:r>
      <w:r w:rsidR="00E65B89">
        <w:rPr>
          <w:sz w:val="24"/>
          <w:szCs w:val="24"/>
        </w:rPr>
        <w:t>Normally, the deadline given is six weeks from the date of the solicitation</w:t>
      </w:r>
      <w:r w:rsidR="00A43E41">
        <w:rPr>
          <w:sz w:val="24"/>
          <w:szCs w:val="24"/>
        </w:rPr>
        <w:t>.</w:t>
      </w:r>
      <w:r w:rsidR="00E65B89">
        <w:rPr>
          <w:sz w:val="24"/>
          <w:szCs w:val="24"/>
        </w:rPr>
        <w:t xml:space="preserve"> In some cases, however, it is possible to set a deadline one month f</w:t>
      </w:r>
      <w:r w:rsidR="00C4711F">
        <w:rPr>
          <w:sz w:val="24"/>
          <w:szCs w:val="24"/>
        </w:rPr>
        <w:t>r</w:t>
      </w:r>
      <w:r w:rsidR="00E65B89">
        <w:rPr>
          <w:sz w:val="24"/>
          <w:szCs w:val="24"/>
        </w:rPr>
        <w:t xml:space="preserve">om that date </w:t>
      </w:r>
      <w:r w:rsidR="00526C92">
        <w:rPr>
          <w:sz w:val="24"/>
          <w:szCs w:val="24"/>
        </w:rPr>
        <w:t>or</w:t>
      </w:r>
      <w:r w:rsidR="00E413DD">
        <w:rPr>
          <w:sz w:val="24"/>
          <w:szCs w:val="24"/>
        </w:rPr>
        <w:t>,</w:t>
      </w:r>
      <w:r w:rsidR="00526C92">
        <w:rPr>
          <w:sz w:val="24"/>
          <w:szCs w:val="24"/>
        </w:rPr>
        <w:t xml:space="preserve"> if necessary, to allow a longer period before the due date.</w:t>
      </w:r>
      <w:r w:rsidR="00A43E41">
        <w:rPr>
          <w:sz w:val="24"/>
          <w:szCs w:val="24"/>
        </w:rPr>
        <w:t xml:space="preserve"> In these cases, the chair is always consulted. At this time, </w:t>
      </w:r>
      <w:r w:rsidR="009E4C15">
        <w:rPr>
          <w:sz w:val="24"/>
          <w:szCs w:val="24"/>
        </w:rPr>
        <w:t xml:space="preserve">the </w:t>
      </w:r>
      <w:r w:rsidR="00E65B89">
        <w:rPr>
          <w:sz w:val="24"/>
          <w:szCs w:val="24"/>
        </w:rPr>
        <w:t xml:space="preserve">Executive Assistant </w:t>
      </w:r>
      <w:r w:rsidR="00A43E41">
        <w:rPr>
          <w:sz w:val="24"/>
          <w:szCs w:val="24"/>
        </w:rPr>
        <w:t xml:space="preserve">also asks the chair to confirm that the publications are ready to send to the referees. </w:t>
      </w:r>
    </w:p>
    <w:p w:rsidR="001D5869" w:rsidRDefault="00E240D2" w:rsidP="001D5869">
      <w:pPr>
        <w:rPr>
          <w:sz w:val="24"/>
          <w:szCs w:val="24"/>
        </w:rPr>
      </w:pPr>
      <w:r>
        <w:rPr>
          <w:sz w:val="24"/>
          <w:szCs w:val="24"/>
        </w:rPr>
        <w:t>Once</w:t>
      </w:r>
      <w:r w:rsidR="00A43E41">
        <w:rPr>
          <w:sz w:val="24"/>
          <w:szCs w:val="24"/>
        </w:rPr>
        <w:t xml:space="preserve"> the letters are solicited, the referees respond to the Executive Assistant indicating their willingness to </w:t>
      </w:r>
      <w:r w:rsidR="00E65B89">
        <w:rPr>
          <w:sz w:val="24"/>
          <w:szCs w:val="24"/>
        </w:rPr>
        <w:t xml:space="preserve">provide a letter </w:t>
      </w:r>
      <w:r w:rsidR="00A43E41">
        <w:rPr>
          <w:sz w:val="24"/>
          <w:szCs w:val="24"/>
        </w:rPr>
        <w:t xml:space="preserve">or </w:t>
      </w:r>
      <w:r w:rsidR="00A43E41" w:rsidRPr="006B2E97">
        <w:rPr>
          <w:sz w:val="24"/>
          <w:szCs w:val="24"/>
        </w:rPr>
        <w:t>declining</w:t>
      </w:r>
      <w:r w:rsidR="00A43E41">
        <w:rPr>
          <w:sz w:val="24"/>
          <w:szCs w:val="24"/>
        </w:rPr>
        <w:t xml:space="preserve"> to write. </w:t>
      </w:r>
      <w:r w:rsidR="001D5869">
        <w:rPr>
          <w:sz w:val="24"/>
          <w:szCs w:val="24"/>
        </w:rPr>
        <w:t xml:space="preserve">Those who indicate </w:t>
      </w:r>
      <w:r w:rsidR="009E4C15">
        <w:rPr>
          <w:sz w:val="24"/>
          <w:szCs w:val="24"/>
        </w:rPr>
        <w:t xml:space="preserve">their </w:t>
      </w:r>
      <w:r w:rsidR="001D5869">
        <w:rPr>
          <w:sz w:val="24"/>
          <w:szCs w:val="24"/>
        </w:rPr>
        <w:t xml:space="preserve">willingness to write frequently request publications. In these cases the Executive Assistant forwards the email to a designated point person in the department who is responsible for sending the publication sets to the referees who request them. </w:t>
      </w:r>
    </w:p>
    <w:p w:rsidR="002D3D9B" w:rsidRDefault="00A43E41" w:rsidP="00A43E41">
      <w:pPr>
        <w:rPr>
          <w:sz w:val="24"/>
          <w:szCs w:val="24"/>
        </w:rPr>
      </w:pPr>
      <w:r w:rsidRPr="00BD57B7">
        <w:rPr>
          <w:sz w:val="24"/>
          <w:szCs w:val="24"/>
        </w:rPr>
        <w:t xml:space="preserve">The Executive Assistant sends follow-up letters after an appropriate period of time to those referees who have not responded to the initial request. It may also be necessary to contact them by phone. The timing and form of these reminders is determined by the urgency of the tenure review. </w:t>
      </w:r>
      <w:r w:rsidR="002876A9">
        <w:rPr>
          <w:sz w:val="24"/>
          <w:szCs w:val="24"/>
        </w:rPr>
        <w:t>The</w:t>
      </w:r>
      <w:r w:rsidR="00B90D5D" w:rsidRPr="00BD57B7">
        <w:rPr>
          <w:sz w:val="24"/>
          <w:szCs w:val="24"/>
        </w:rPr>
        <w:t xml:space="preserve"> Executive Assistant </w:t>
      </w:r>
      <w:r w:rsidR="00141201" w:rsidRPr="00BD57B7">
        <w:rPr>
          <w:sz w:val="24"/>
          <w:szCs w:val="24"/>
        </w:rPr>
        <w:t xml:space="preserve">thanks each referee and </w:t>
      </w:r>
      <w:r w:rsidR="00B90D5D" w:rsidRPr="00BD57B7">
        <w:rPr>
          <w:sz w:val="24"/>
          <w:szCs w:val="24"/>
        </w:rPr>
        <w:t xml:space="preserve">forwards </w:t>
      </w:r>
      <w:r w:rsidR="00141201" w:rsidRPr="00BD57B7">
        <w:rPr>
          <w:sz w:val="24"/>
          <w:szCs w:val="24"/>
        </w:rPr>
        <w:t xml:space="preserve">the tally sheet and the letters </w:t>
      </w:r>
      <w:r w:rsidR="00B90D5D" w:rsidRPr="00BD57B7">
        <w:rPr>
          <w:sz w:val="24"/>
          <w:szCs w:val="24"/>
        </w:rPr>
        <w:t>as they arrive to the department chair.</w:t>
      </w:r>
    </w:p>
    <w:p w:rsidR="001B39A2" w:rsidRDefault="001B39A2" w:rsidP="00A43E41">
      <w:pPr>
        <w:rPr>
          <w:b/>
          <w:sz w:val="24"/>
          <w:szCs w:val="24"/>
        </w:rPr>
      </w:pPr>
      <w:r>
        <w:rPr>
          <w:b/>
          <w:sz w:val="24"/>
          <w:szCs w:val="24"/>
        </w:rPr>
        <w:t xml:space="preserve">Department </w:t>
      </w:r>
      <w:r w:rsidR="00A97CBC">
        <w:rPr>
          <w:b/>
          <w:sz w:val="24"/>
          <w:szCs w:val="24"/>
        </w:rPr>
        <w:t xml:space="preserve">or School </w:t>
      </w:r>
      <w:r>
        <w:rPr>
          <w:b/>
          <w:sz w:val="24"/>
          <w:szCs w:val="24"/>
        </w:rPr>
        <w:t>Review</w:t>
      </w:r>
      <w:r w:rsidR="002D3D9B">
        <w:rPr>
          <w:b/>
          <w:sz w:val="24"/>
          <w:szCs w:val="24"/>
        </w:rPr>
        <w:t>, Deliberation and Vote</w:t>
      </w:r>
    </w:p>
    <w:p w:rsidR="001B39A2" w:rsidRPr="001B39A2" w:rsidRDefault="00A97CBC" w:rsidP="001B39A2">
      <w:pPr>
        <w:spacing w:after="0"/>
        <w:rPr>
          <w:sz w:val="24"/>
          <w:szCs w:val="24"/>
        </w:rPr>
      </w:pPr>
      <w:r>
        <w:rPr>
          <w:sz w:val="24"/>
          <w:szCs w:val="24"/>
        </w:rPr>
        <w:t xml:space="preserve">The </w:t>
      </w:r>
      <w:r w:rsidR="000F1B17">
        <w:rPr>
          <w:sz w:val="24"/>
          <w:szCs w:val="24"/>
        </w:rPr>
        <w:t>department conducts the review according to its procedures</w:t>
      </w:r>
      <w:r w:rsidR="001B39A2">
        <w:rPr>
          <w:sz w:val="24"/>
          <w:szCs w:val="24"/>
        </w:rPr>
        <w:t xml:space="preserve">. The tenured members of the </w:t>
      </w:r>
      <w:r w:rsidR="001B39A2" w:rsidRPr="001B39A2">
        <w:rPr>
          <w:sz w:val="24"/>
          <w:szCs w:val="24"/>
        </w:rPr>
        <w:t>department discuss the case and vote on</w:t>
      </w:r>
      <w:r w:rsidR="001B39A2">
        <w:rPr>
          <w:sz w:val="24"/>
          <w:szCs w:val="24"/>
        </w:rPr>
        <w:t xml:space="preserve"> whether to recommend appointment to tenure</w:t>
      </w:r>
      <w:r w:rsidR="001B39A2" w:rsidRPr="001B39A2">
        <w:rPr>
          <w:sz w:val="24"/>
          <w:szCs w:val="24"/>
        </w:rPr>
        <w:t>.</w:t>
      </w:r>
      <w:r>
        <w:rPr>
          <w:sz w:val="24"/>
          <w:szCs w:val="24"/>
        </w:rPr>
        <w:t xml:space="preserve"> </w:t>
      </w:r>
    </w:p>
    <w:p w:rsidR="00B553DF" w:rsidRPr="00B553DF" w:rsidRDefault="00B553DF" w:rsidP="003144D1">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Preparation and Vetting of Case Statement</w:t>
      </w:r>
    </w:p>
    <w:p w:rsidR="006401EB" w:rsidRPr="00C3017F" w:rsidRDefault="00B553DF" w:rsidP="00A43E41">
      <w:pPr>
        <w:rPr>
          <w:sz w:val="24"/>
          <w:szCs w:val="24"/>
        </w:rPr>
      </w:pPr>
      <w:r>
        <w:rPr>
          <w:sz w:val="24"/>
          <w:szCs w:val="24"/>
        </w:rPr>
        <w:t>The chair or dean prepares the case statement</w:t>
      </w:r>
      <w:r w:rsidR="000A2781">
        <w:rPr>
          <w:sz w:val="24"/>
          <w:szCs w:val="24"/>
        </w:rPr>
        <w:t xml:space="preserve"> according to the specifications in Part I of this document</w:t>
      </w:r>
      <w:r>
        <w:rPr>
          <w:sz w:val="24"/>
          <w:szCs w:val="24"/>
        </w:rPr>
        <w:t xml:space="preserve">. Once the case statement is prepared, the chair or dean </w:t>
      </w:r>
      <w:r w:rsidR="00A43E41" w:rsidRPr="004243EE">
        <w:rPr>
          <w:sz w:val="24"/>
          <w:szCs w:val="24"/>
        </w:rPr>
        <w:t>forwards the case statement</w:t>
      </w:r>
      <w:r>
        <w:rPr>
          <w:sz w:val="24"/>
          <w:szCs w:val="24"/>
        </w:rPr>
        <w:t xml:space="preserve"> electronically</w:t>
      </w:r>
      <w:r w:rsidR="00A43E41" w:rsidRPr="004243EE">
        <w:rPr>
          <w:sz w:val="24"/>
          <w:szCs w:val="24"/>
        </w:rPr>
        <w:t xml:space="preserve"> to the Associate Vice P</w:t>
      </w:r>
      <w:r>
        <w:rPr>
          <w:sz w:val="24"/>
          <w:szCs w:val="24"/>
        </w:rPr>
        <w:t xml:space="preserve">resident for Academic Affairs. </w:t>
      </w:r>
    </w:p>
    <w:p w:rsidR="00200698" w:rsidRPr="00200698" w:rsidRDefault="00200698" w:rsidP="00A43E41">
      <w:pPr>
        <w:rPr>
          <w:b/>
          <w:sz w:val="24"/>
          <w:szCs w:val="24"/>
        </w:rPr>
      </w:pPr>
      <w:r w:rsidRPr="00200698">
        <w:rPr>
          <w:b/>
          <w:sz w:val="24"/>
          <w:szCs w:val="24"/>
        </w:rPr>
        <w:t xml:space="preserve">Submission of Materials </w:t>
      </w:r>
    </w:p>
    <w:p w:rsidR="00B553DF" w:rsidRDefault="00A43E41" w:rsidP="00A43E41">
      <w:pPr>
        <w:rPr>
          <w:sz w:val="24"/>
          <w:szCs w:val="24"/>
        </w:rPr>
      </w:pPr>
      <w:r w:rsidRPr="004243EE">
        <w:rPr>
          <w:sz w:val="24"/>
          <w:szCs w:val="24"/>
        </w:rPr>
        <w:t xml:space="preserve">Once the </w:t>
      </w:r>
      <w:r w:rsidR="00B553DF">
        <w:rPr>
          <w:sz w:val="24"/>
          <w:szCs w:val="24"/>
        </w:rPr>
        <w:t xml:space="preserve">Associate Vice President indicates that </w:t>
      </w:r>
      <w:r w:rsidR="00200698">
        <w:rPr>
          <w:sz w:val="24"/>
          <w:szCs w:val="24"/>
        </w:rPr>
        <w:t xml:space="preserve">the </w:t>
      </w:r>
      <w:r w:rsidRPr="004243EE">
        <w:rPr>
          <w:sz w:val="24"/>
          <w:szCs w:val="24"/>
        </w:rPr>
        <w:t>case s</w:t>
      </w:r>
      <w:r w:rsidR="00B553DF">
        <w:rPr>
          <w:sz w:val="24"/>
          <w:szCs w:val="24"/>
        </w:rPr>
        <w:t xml:space="preserve">tatement </w:t>
      </w:r>
      <w:r w:rsidR="00200698">
        <w:rPr>
          <w:sz w:val="24"/>
          <w:szCs w:val="24"/>
        </w:rPr>
        <w:t>has been vetted</w:t>
      </w:r>
      <w:r w:rsidR="00B553DF">
        <w:rPr>
          <w:sz w:val="24"/>
          <w:szCs w:val="24"/>
        </w:rPr>
        <w:t xml:space="preserve">, the </w:t>
      </w:r>
      <w:r w:rsidR="007D286F">
        <w:rPr>
          <w:sz w:val="24"/>
          <w:szCs w:val="24"/>
        </w:rPr>
        <w:t xml:space="preserve">materials should be submitted </w:t>
      </w:r>
      <w:r w:rsidR="00526C92">
        <w:rPr>
          <w:sz w:val="24"/>
          <w:szCs w:val="24"/>
        </w:rPr>
        <w:t xml:space="preserve">to the Office of the Executive Vice President </w:t>
      </w:r>
      <w:r w:rsidR="00ED217E">
        <w:rPr>
          <w:sz w:val="24"/>
          <w:szCs w:val="24"/>
        </w:rPr>
        <w:t xml:space="preserve">by </w:t>
      </w:r>
      <w:r w:rsidR="009207D0">
        <w:rPr>
          <w:sz w:val="24"/>
          <w:szCs w:val="24"/>
        </w:rPr>
        <w:t xml:space="preserve">hard copy or </w:t>
      </w:r>
      <w:r w:rsidR="007D286F">
        <w:rPr>
          <w:sz w:val="24"/>
          <w:szCs w:val="24"/>
        </w:rPr>
        <w:t xml:space="preserve">electronically on a CD-ROM or flash drive with the exception of published books which </w:t>
      </w:r>
      <w:r w:rsidR="009207D0">
        <w:rPr>
          <w:sz w:val="24"/>
          <w:szCs w:val="24"/>
        </w:rPr>
        <w:t>must be submitted</w:t>
      </w:r>
      <w:r w:rsidR="007D286F">
        <w:rPr>
          <w:sz w:val="24"/>
          <w:szCs w:val="24"/>
        </w:rPr>
        <w:t xml:space="preserve"> in hard copy. </w:t>
      </w:r>
    </w:p>
    <w:p w:rsidR="00C3017F" w:rsidRDefault="00C3017F" w:rsidP="00A43E41">
      <w:pPr>
        <w:rPr>
          <w:sz w:val="24"/>
          <w:szCs w:val="24"/>
        </w:rPr>
      </w:pPr>
    </w:p>
    <w:p w:rsidR="0095120A" w:rsidRDefault="0095120A" w:rsidP="00A43E41">
      <w:pPr>
        <w:rPr>
          <w:b/>
          <w:sz w:val="24"/>
          <w:szCs w:val="24"/>
        </w:rPr>
      </w:pPr>
      <w:r w:rsidRPr="0095120A">
        <w:rPr>
          <w:b/>
          <w:sz w:val="24"/>
          <w:szCs w:val="24"/>
        </w:rPr>
        <w:lastRenderedPageBreak/>
        <w:t>Dossier Checklist</w:t>
      </w:r>
    </w:p>
    <w:p w:rsidR="0088196B" w:rsidRDefault="0088196B" w:rsidP="0088196B">
      <w:pPr>
        <w:rPr>
          <w:sz w:val="24"/>
          <w:szCs w:val="24"/>
        </w:rPr>
      </w:pPr>
      <w:r>
        <w:rPr>
          <w:sz w:val="24"/>
          <w:szCs w:val="24"/>
        </w:rPr>
        <w:t>The materials submitted</w:t>
      </w:r>
      <w:r w:rsidRPr="00785CFB">
        <w:rPr>
          <w:sz w:val="24"/>
          <w:szCs w:val="24"/>
        </w:rPr>
        <w:t xml:space="preserve"> should include all of the items listed below. The omission of any materials without the approval of the Office of the Executive Vice President for Arts and Sciences may delay the review.</w:t>
      </w:r>
    </w:p>
    <w:p w:rsidR="0088196B" w:rsidRPr="00785CFB" w:rsidRDefault="0088196B" w:rsidP="0088196B">
      <w:pPr>
        <w:rPr>
          <w:sz w:val="24"/>
          <w:szCs w:val="24"/>
        </w:rPr>
      </w:pPr>
      <w:proofErr w:type="gramStart"/>
      <w:r>
        <w:rPr>
          <w:rFonts w:ascii="SimSun" w:eastAsia="SimSun" w:hAnsi="SimSun" w:hint="eastAsia"/>
          <w:sz w:val="24"/>
          <w:szCs w:val="24"/>
        </w:rPr>
        <w:t>□</w:t>
      </w:r>
      <w:r>
        <w:rPr>
          <w:sz w:val="24"/>
          <w:szCs w:val="24"/>
        </w:rPr>
        <w:t xml:space="preserve">  1</w:t>
      </w:r>
      <w:proofErr w:type="gramEnd"/>
      <w:r>
        <w:rPr>
          <w:sz w:val="24"/>
          <w:szCs w:val="24"/>
        </w:rPr>
        <w:t xml:space="preserve">. </w:t>
      </w:r>
      <w:r w:rsidRPr="00785CFB">
        <w:rPr>
          <w:sz w:val="24"/>
          <w:szCs w:val="24"/>
        </w:rPr>
        <w:t>Case Statement (Analysis of the department or school and its objectives, Report on the search and selection process</w:t>
      </w:r>
      <w:r w:rsidR="00526C92">
        <w:rPr>
          <w:sz w:val="24"/>
          <w:szCs w:val="24"/>
        </w:rPr>
        <w:t xml:space="preserve"> </w:t>
      </w:r>
      <w:r w:rsidR="001F4927">
        <w:rPr>
          <w:sz w:val="24"/>
          <w:szCs w:val="24"/>
        </w:rPr>
        <w:t>and/</w:t>
      </w:r>
      <w:r w:rsidR="00526C92">
        <w:rPr>
          <w:sz w:val="24"/>
          <w:szCs w:val="24"/>
        </w:rPr>
        <w:t>or the Summary of the Department Review Process and the</w:t>
      </w:r>
      <w:r w:rsidR="002876A9">
        <w:rPr>
          <w:sz w:val="24"/>
          <w:szCs w:val="24"/>
        </w:rPr>
        <w:t xml:space="preserve"> </w:t>
      </w:r>
      <w:r w:rsidRPr="00785CFB">
        <w:rPr>
          <w:sz w:val="24"/>
          <w:szCs w:val="24"/>
        </w:rPr>
        <w:t xml:space="preserve">Statement of </w:t>
      </w:r>
      <w:r w:rsidR="00526C92">
        <w:rPr>
          <w:sz w:val="24"/>
          <w:szCs w:val="24"/>
        </w:rPr>
        <w:t>the N</w:t>
      </w:r>
      <w:r w:rsidR="00526C92" w:rsidRPr="00785CFB">
        <w:rPr>
          <w:sz w:val="24"/>
          <w:szCs w:val="24"/>
        </w:rPr>
        <w:t xml:space="preserve">ominee’s </w:t>
      </w:r>
      <w:r w:rsidR="00526C92">
        <w:rPr>
          <w:sz w:val="24"/>
          <w:szCs w:val="24"/>
        </w:rPr>
        <w:t>Q</w:t>
      </w:r>
      <w:r w:rsidR="00526C92" w:rsidRPr="00785CFB">
        <w:rPr>
          <w:sz w:val="24"/>
          <w:szCs w:val="24"/>
        </w:rPr>
        <w:t>ualifications</w:t>
      </w:r>
      <w:r w:rsidRPr="00785CFB">
        <w:rPr>
          <w:sz w:val="24"/>
          <w:szCs w:val="24"/>
        </w:rPr>
        <w:t>)</w:t>
      </w:r>
    </w:p>
    <w:p w:rsidR="0088196B" w:rsidRPr="00E746E8" w:rsidRDefault="0088196B" w:rsidP="0088196B">
      <w:pPr>
        <w:rPr>
          <w:sz w:val="24"/>
          <w:szCs w:val="24"/>
        </w:rPr>
      </w:pPr>
      <w:proofErr w:type="gramStart"/>
      <w:r>
        <w:rPr>
          <w:rFonts w:ascii="SimSun" w:eastAsia="SimSun" w:hAnsi="SimSun" w:hint="eastAsia"/>
          <w:sz w:val="24"/>
          <w:szCs w:val="24"/>
        </w:rPr>
        <w:t>□</w:t>
      </w:r>
      <w:r>
        <w:rPr>
          <w:sz w:val="24"/>
          <w:szCs w:val="24"/>
        </w:rPr>
        <w:t xml:space="preserve">  2</w:t>
      </w:r>
      <w:proofErr w:type="gramEnd"/>
      <w:r>
        <w:rPr>
          <w:sz w:val="24"/>
          <w:szCs w:val="24"/>
        </w:rPr>
        <w:t xml:space="preserve">. </w:t>
      </w:r>
      <w:r w:rsidR="00526C92" w:rsidRPr="0088196B">
        <w:rPr>
          <w:sz w:val="24"/>
          <w:szCs w:val="24"/>
        </w:rPr>
        <w:t>Statement of the nominee</w:t>
      </w:r>
      <w:r w:rsidR="00526C92" w:rsidRPr="00E746E8">
        <w:rPr>
          <w:sz w:val="24"/>
          <w:szCs w:val="24"/>
        </w:rPr>
        <w:t xml:space="preserve"> </w:t>
      </w:r>
    </w:p>
    <w:p w:rsidR="00E2047B" w:rsidRPr="00E746E8" w:rsidRDefault="0088196B" w:rsidP="00E2047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sidRPr="0088196B">
        <w:rPr>
          <w:rFonts w:eastAsia="SimSun" w:cstheme="minorHAnsi"/>
          <w:sz w:val="24"/>
          <w:szCs w:val="24"/>
        </w:rPr>
        <w:t>3.</w:t>
      </w:r>
      <w:proofErr w:type="gramEnd"/>
      <w:r>
        <w:rPr>
          <w:rFonts w:eastAsia="SimSun" w:cstheme="minorHAnsi"/>
          <w:sz w:val="24"/>
          <w:szCs w:val="24"/>
        </w:rPr>
        <w:t xml:space="preserve"> </w:t>
      </w:r>
      <w:r w:rsidR="00526C92">
        <w:rPr>
          <w:rFonts w:eastAsia="SimSun" w:cstheme="minorHAnsi"/>
          <w:sz w:val="24"/>
          <w:szCs w:val="24"/>
        </w:rPr>
        <w:t xml:space="preserve">Copy of the Department’s or School’s </w:t>
      </w:r>
      <w:r w:rsidR="002876A9">
        <w:rPr>
          <w:rFonts w:eastAsia="SimSun" w:cstheme="minorHAnsi"/>
          <w:sz w:val="24"/>
          <w:szCs w:val="24"/>
        </w:rPr>
        <w:t xml:space="preserve">Search Report or </w:t>
      </w:r>
      <w:r w:rsidR="00526C92">
        <w:rPr>
          <w:rFonts w:eastAsia="SimSun" w:cstheme="minorHAnsi"/>
          <w:sz w:val="24"/>
          <w:szCs w:val="24"/>
        </w:rPr>
        <w:t>Review Committee Report</w:t>
      </w:r>
      <w:r w:rsidR="001E2C08">
        <w:rPr>
          <w:rFonts w:eastAsia="SimSun" w:cstheme="minorHAnsi"/>
          <w:sz w:val="24"/>
          <w:szCs w:val="24"/>
        </w:rPr>
        <w:t xml:space="preserve"> </w:t>
      </w:r>
      <w:r w:rsidR="00E2047B">
        <w:rPr>
          <w:sz w:val="24"/>
          <w:szCs w:val="24"/>
        </w:rPr>
        <w:t>and other i</w:t>
      </w:r>
      <w:r w:rsidR="00E2047B" w:rsidRPr="00E746E8">
        <w:rPr>
          <w:sz w:val="24"/>
          <w:szCs w:val="24"/>
        </w:rPr>
        <w:t>nternal review materials</w:t>
      </w:r>
      <w:r w:rsidR="00E2047B">
        <w:rPr>
          <w:sz w:val="24"/>
          <w:szCs w:val="24"/>
        </w:rPr>
        <w:t xml:space="preserve"> such as departmental letters of evaluation, </w:t>
      </w:r>
      <w:r w:rsidR="00E2047B" w:rsidRPr="00472611">
        <w:rPr>
          <w:i/>
          <w:sz w:val="24"/>
          <w:szCs w:val="24"/>
        </w:rPr>
        <w:t>if obtained</w:t>
      </w:r>
    </w:p>
    <w:p w:rsidR="001E2C08" w:rsidRPr="00E746E8" w:rsidRDefault="0088196B" w:rsidP="001E2C08">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sidRPr="0088196B">
        <w:rPr>
          <w:rFonts w:eastAsia="SimSun" w:cstheme="minorHAnsi"/>
          <w:sz w:val="24"/>
          <w:szCs w:val="24"/>
        </w:rPr>
        <w:t>4</w:t>
      </w:r>
      <w:r w:rsidRPr="00C906C1">
        <w:rPr>
          <w:rFonts w:eastAsia="SimSun" w:cstheme="minorHAnsi"/>
          <w:sz w:val="24"/>
          <w:szCs w:val="24"/>
        </w:rPr>
        <w:t>.</w:t>
      </w:r>
      <w:proofErr w:type="gramEnd"/>
      <w:r w:rsidRPr="00C906C1">
        <w:rPr>
          <w:rFonts w:eastAsia="SimSun" w:cstheme="minorHAnsi"/>
          <w:sz w:val="24"/>
          <w:szCs w:val="24"/>
        </w:rPr>
        <w:t xml:space="preserve"> </w:t>
      </w:r>
      <w:r w:rsidR="001E2C08" w:rsidRPr="00E746E8">
        <w:rPr>
          <w:sz w:val="24"/>
          <w:szCs w:val="24"/>
        </w:rPr>
        <w:t>Assessment of Barnard counterpart department</w:t>
      </w:r>
    </w:p>
    <w:p w:rsidR="0088196B" w:rsidRPr="0088196B" w:rsidRDefault="0088196B" w:rsidP="0088196B">
      <w:pPr>
        <w:rPr>
          <w:sz w:val="24"/>
          <w:szCs w:val="24"/>
        </w:rPr>
      </w:pPr>
      <w:proofErr w:type="gramStart"/>
      <w:r w:rsidRPr="00C906C1">
        <w:rPr>
          <w:rFonts w:ascii="SimSun" w:eastAsia="SimSun" w:hAnsi="SimSun" w:hint="eastAsia"/>
          <w:sz w:val="24"/>
          <w:szCs w:val="24"/>
        </w:rPr>
        <w:t>□</w:t>
      </w:r>
      <w:r w:rsidRPr="00C906C1">
        <w:rPr>
          <w:rFonts w:ascii="SimSun" w:eastAsia="SimSun" w:hAnsi="SimSun"/>
          <w:sz w:val="24"/>
          <w:szCs w:val="24"/>
        </w:rPr>
        <w:t xml:space="preserve"> </w:t>
      </w:r>
      <w:r w:rsidRPr="00C906C1">
        <w:rPr>
          <w:sz w:val="24"/>
          <w:szCs w:val="24"/>
        </w:rPr>
        <w:t>5.</w:t>
      </w:r>
      <w:proofErr w:type="gramEnd"/>
      <w:r w:rsidR="00E413DD">
        <w:rPr>
          <w:sz w:val="24"/>
          <w:szCs w:val="24"/>
        </w:rPr>
        <w:t xml:space="preserve"> </w:t>
      </w:r>
      <w:r w:rsidR="001E2C08" w:rsidRPr="00E746E8">
        <w:rPr>
          <w:sz w:val="24"/>
          <w:szCs w:val="24"/>
        </w:rPr>
        <w:t>Curriculum Vitae</w:t>
      </w:r>
      <w:r w:rsidR="001E2C08" w:rsidRPr="0088196B" w:rsidDel="00526C92">
        <w:rPr>
          <w:sz w:val="24"/>
          <w:szCs w:val="24"/>
        </w:rPr>
        <w:t xml:space="preserve"> </w:t>
      </w:r>
    </w:p>
    <w:p w:rsidR="0088196B" w:rsidRPr="00E746E8" w:rsidRDefault="0088196B"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6</w:t>
      </w:r>
      <w:r w:rsidR="00E413DD">
        <w:rPr>
          <w:sz w:val="24"/>
          <w:szCs w:val="24"/>
        </w:rPr>
        <w:t>.</w:t>
      </w:r>
      <w:proofErr w:type="gramEnd"/>
      <w:r w:rsidR="00E413DD">
        <w:rPr>
          <w:sz w:val="24"/>
          <w:szCs w:val="24"/>
        </w:rPr>
        <w:t xml:space="preserve"> </w:t>
      </w:r>
      <w:r w:rsidR="001E2C08" w:rsidRPr="0088196B">
        <w:rPr>
          <w:rFonts w:cstheme="minorHAnsi"/>
          <w:sz w:val="24"/>
          <w:szCs w:val="24"/>
        </w:rPr>
        <w:t>Evidence</w:t>
      </w:r>
      <w:r w:rsidR="001E2C08" w:rsidRPr="0088196B">
        <w:rPr>
          <w:sz w:val="24"/>
          <w:szCs w:val="24"/>
        </w:rPr>
        <w:t xml:space="preserve"> of contributions to the educational purpose of the </w:t>
      </w:r>
      <w:r w:rsidR="001E2C08">
        <w:rPr>
          <w:sz w:val="24"/>
          <w:szCs w:val="24"/>
        </w:rPr>
        <w:t xml:space="preserve">department or school, such as syllabi </w:t>
      </w:r>
    </w:p>
    <w:p w:rsidR="0088196B" w:rsidRPr="00E746E8" w:rsidRDefault="0088196B"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7</w:t>
      </w:r>
      <w:r w:rsidRPr="00E746E8">
        <w:rPr>
          <w:sz w:val="24"/>
          <w:szCs w:val="24"/>
        </w:rPr>
        <w:t>.</w:t>
      </w:r>
      <w:proofErr w:type="gramEnd"/>
      <w:r w:rsidRPr="00E746E8">
        <w:rPr>
          <w:sz w:val="24"/>
          <w:szCs w:val="24"/>
        </w:rPr>
        <w:t xml:space="preserve"> </w:t>
      </w:r>
      <w:r w:rsidR="001E2C08">
        <w:rPr>
          <w:sz w:val="24"/>
          <w:szCs w:val="24"/>
        </w:rPr>
        <w:t>Evidence of t</w:t>
      </w:r>
      <w:r w:rsidR="001E2C08" w:rsidRPr="00C906C1">
        <w:rPr>
          <w:sz w:val="24"/>
          <w:szCs w:val="24"/>
        </w:rPr>
        <w:t>eaching qualifications, including evaluations</w:t>
      </w:r>
    </w:p>
    <w:p w:rsidR="0088196B" w:rsidRDefault="0088196B"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8.</w:t>
      </w:r>
      <w:proofErr w:type="gramEnd"/>
      <w:r>
        <w:rPr>
          <w:sz w:val="24"/>
          <w:szCs w:val="24"/>
        </w:rPr>
        <w:t xml:space="preserve"> </w:t>
      </w:r>
      <w:r w:rsidR="001E2C08">
        <w:rPr>
          <w:sz w:val="24"/>
          <w:szCs w:val="24"/>
        </w:rPr>
        <w:t>List of p</w:t>
      </w:r>
      <w:r w:rsidR="001E2C08" w:rsidRPr="00E746E8">
        <w:rPr>
          <w:sz w:val="24"/>
          <w:szCs w:val="24"/>
        </w:rPr>
        <w:t>ublications</w:t>
      </w:r>
      <w:r w:rsidR="001E2C08">
        <w:rPr>
          <w:sz w:val="24"/>
          <w:szCs w:val="24"/>
        </w:rPr>
        <w:t xml:space="preserve"> and publication set</w:t>
      </w:r>
    </w:p>
    <w:p w:rsidR="001E2C08" w:rsidRDefault="001E2C08"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9</w:t>
      </w:r>
      <w:r w:rsidRPr="00E746E8">
        <w:rPr>
          <w:sz w:val="24"/>
          <w:szCs w:val="24"/>
        </w:rPr>
        <w:t>.</w:t>
      </w:r>
      <w:proofErr w:type="gramEnd"/>
      <w:r>
        <w:rPr>
          <w:sz w:val="24"/>
          <w:szCs w:val="24"/>
        </w:rPr>
        <w:t xml:space="preserve"> </w:t>
      </w:r>
      <w:r w:rsidRPr="00E746E8">
        <w:rPr>
          <w:sz w:val="24"/>
          <w:szCs w:val="24"/>
        </w:rPr>
        <w:t>Annotated list of referees</w:t>
      </w:r>
      <w:r w:rsidR="00472611" w:rsidRPr="00472611">
        <w:rPr>
          <w:i/>
          <w:sz w:val="24"/>
          <w:szCs w:val="24"/>
        </w:rPr>
        <w:t>, if not already submitted</w:t>
      </w:r>
    </w:p>
    <w:p w:rsidR="001E2C08" w:rsidRDefault="001E2C08"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10</w:t>
      </w:r>
      <w:r w:rsidRPr="00E746E8">
        <w:rPr>
          <w:sz w:val="24"/>
          <w:szCs w:val="24"/>
        </w:rPr>
        <w:t>.</w:t>
      </w:r>
      <w:proofErr w:type="gramEnd"/>
      <w:r>
        <w:rPr>
          <w:sz w:val="24"/>
          <w:szCs w:val="24"/>
        </w:rPr>
        <w:t xml:space="preserve"> Annotated list of compari</w:t>
      </w:r>
      <w:r w:rsidRPr="00E746E8">
        <w:rPr>
          <w:sz w:val="24"/>
          <w:szCs w:val="24"/>
        </w:rPr>
        <w:t>son scholars</w:t>
      </w:r>
      <w:r w:rsidR="00472611" w:rsidRPr="00472611">
        <w:rPr>
          <w:i/>
          <w:sz w:val="24"/>
          <w:szCs w:val="24"/>
        </w:rPr>
        <w:t>, if not already submitted</w:t>
      </w:r>
    </w:p>
    <w:p w:rsidR="0088196B" w:rsidRPr="00E746E8" w:rsidRDefault="00E2047B"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11</w:t>
      </w:r>
      <w:r w:rsidRPr="00E746E8">
        <w:rPr>
          <w:sz w:val="24"/>
          <w:szCs w:val="24"/>
        </w:rPr>
        <w:t>.</w:t>
      </w:r>
      <w:proofErr w:type="gramEnd"/>
      <w:r w:rsidRPr="00E746E8">
        <w:rPr>
          <w:sz w:val="24"/>
          <w:szCs w:val="24"/>
        </w:rPr>
        <w:t xml:space="preserve"> </w:t>
      </w:r>
      <w:r>
        <w:rPr>
          <w:sz w:val="24"/>
          <w:szCs w:val="24"/>
        </w:rPr>
        <w:t>List of w</w:t>
      </w:r>
      <w:r w:rsidRPr="00E746E8">
        <w:rPr>
          <w:sz w:val="24"/>
          <w:szCs w:val="24"/>
        </w:rPr>
        <w:t xml:space="preserve">itnesses to appear before the </w:t>
      </w:r>
      <w:r>
        <w:rPr>
          <w:sz w:val="24"/>
          <w:szCs w:val="24"/>
        </w:rPr>
        <w:t>PTC</w:t>
      </w:r>
    </w:p>
    <w:p w:rsidR="0088196B" w:rsidRPr="00E746E8" w:rsidRDefault="0088196B" w:rsidP="0088196B">
      <w:pPr>
        <w:rPr>
          <w:sz w:val="24"/>
          <w:szCs w:val="24"/>
        </w:rPr>
      </w:pPr>
      <w:proofErr w:type="gramStart"/>
      <w:r>
        <w:rPr>
          <w:rFonts w:ascii="SimSun" w:eastAsia="SimSun" w:hAnsi="SimSun" w:hint="eastAsia"/>
          <w:sz w:val="24"/>
          <w:szCs w:val="24"/>
        </w:rPr>
        <w:t>□</w:t>
      </w:r>
      <w:r>
        <w:rPr>
          <w:rFonts w:ascii="SimSun" w:eastAsia="SimSun" w:hAnsi="SimSun"/>
          <w:sz w:val="24"/>
          <w:szCs w:val="24"/>
        </w:rPr>
        <w:t xml:space="preserve"> </w:t>
      </w:r>
      <w:r>
        <w:rPr>
          <w:sz w:val="24"/>
          <w:szCs w:val="24"/>
        </w:rPr>
        <w:t>1</w:t>
      </w:r>
      <w:r w:rsidR="00E2047B">
        <w:rPr>
          <w:sz w:val="24"/>
          <w:szCs w:val="24"/>
        </w:rPr>
        <w:t>2</w:t>
      </w:r>
      <w:r w:rsidRPr="00E746E8">
        <w:rPr>
          <w:sz w:val="24"/>
          <w:szCs w:val="24"/>
        </w:rPr>
        <w:t>.</w:t>
      </w:r>
      <w:proofErr w:type="gramEnd"/>
      <w:r w:rsidRPr="00E746E8">
        <w:rPr>
          <w:sz w:val="24"/>
          <w:szCs w:val="24"/>
        </w:rPr>
        <w:t xml:space="preserve"> All materials collected for any previous review for tenure, regardless of whether a decision was made or deferred at either the school/departmental or University-wide level</w:t>
      </w:r>
    </w:p>
    <w:p w:rsidR="000C2641" w:rsidRDefault="000C2641" w:rsidP="00A43E41">
      <w:pPr>
        <w:rPr>
          <w:b/>
          <w:sz w:val="24"/>
          <w:szCs w:val="24"/>
        </w:rPr>
      </w:pPr>
    </w:p>
    <w:p w:rsidR="000C2641" w:rsidRDefault="000C2641" w:rsidP="00A43E41">
      <w:pPr>
        <w:rPr>
          <w:b/>
          <w:sz w:val="24"/>
          <w:szCs w:val="24"/>
        </w:rPr>
      </w:pPr>
    </w:p>
    <w:p w:rsidR="000C2641" w:rsidRDefault="000C2641" w:rsidP="00A43E41">
      <w:pPr>
        <w:rPr>
          <w:b/>
          <w:sz w:val="24"/>
          <w:szCs w:val="24"/>
        </w:rPr>
      </w:pPr>
    </w:p>
    <w:p w:rsidR="00BD57B7" w:rsidRDefault="00BD57B7" w:rsidP="00A43E41">
      <w:pPr>
        <w:rPr>
          <w:b/>
          <w:sz w:val="24"/>
          <w:szCs w:val="24"/>
        </w:rPr>
      </w:pPr>
    </w:p>
    <w:p w:rsidR="00BD57B7" w:rsidRDefault="00BD57B7" w:rsidP="00A43E41">
      <w:pPr>
        <w:rPr>
          <w:b/>
          <w:sz w:val="24"/>
          <w:szCs w:val="24"/>
        </w:rPr>
      </w:pPr>
    </w:p>
    <w:p w:rsidR="00A43E41" w:rsidRDefault="00A43E41" w:rsidP="00A43E41">
      <w:pPr>
        <w:rPr>
          <w:b/>
          <w:sz w:val="24"/>
          <w:szCs w:val="24"/>
        </w:rPr>
      </w:pPr>
      <w:r w:rsidRPr="00D57441">
        <w:rPr>
          <w:b/>
          <w:sz w:val="24"/>
          <w:szCs w:val="24"/>
        </w:rPr>
        <w:lastRenderedPageBreak/>
        <w:t xml:space="preserve">Compilation of the Dossier </w:t>
      </w:r>
    </w:p>
    <w:p w:rsidR="008D38A1" w:rsidRDefault="005F3B23" w:rsidP="00A43E41">
      <w:pPr>
        <w:rPr>
          <w:sz w:val="24"/>
          <w:szCs w:val="24"/>
        </w:rPr>
      </w:pPr>
      <w:r>
        <w:rPr>
          <w:sz w:val="24"/>
          <w:szCs w:val="24"/>
        </w:rPr>
        <w:t xml:space="preserve">The Executive Assistant prepares the </w:t>
      </w:r>
      <w:r w:rsidR="00CE5547">
        <w:rPr>
          <w:sz w:val="24"/>
          <w:szCs w:val="24"/>
        </w:rPr>
        <w:t xml:space="preserve">full </w:t>
      </w:r>
      <w:r>
        <w:rPr>
          <w:sz w:val="24"/>
          <w:szCs w:val="24"/>
        </w:rPr>
        <w:t>dossier</w:t>
      </w:r>
      <w:r w:rsidR="00EC4AF1">
        <w:rPr>
          <w:sz w:val="24"/>
          <w:szCs w:val="24"/>
        </w:rPr>
        <w:t xml:space="preserve"> according to the specifications in the Provost’s Guidelines</w:t>
      </w:r>
      <w:r w:rsidR="00CE5547">
        <w:rPr>
          <w:sz w:val="24"/>
          <w:szCs w:val="24"/>
        </w:rPr>
        <w:t xml:space="preserve">. </w:t>
      </w:r>
      <w:r w:rsidR="00DC7619">
        <w:rPr>
          <w:sz w:val="24"/>
          <w:szCs w:val="24"/>
        </w:rPr>
        <w:t xml:space="preserve">Once it is prepared, it is distributed to the Chair of the PTC, who determines </w:t>
      </w:r>
      <w:r w:rsidR="00526C92">
        <w:rPr>
          <w:sz w:val="24"/>
          <w:szCs w:val="24"/>
        </w:rPr>
        <w:t xml:space="preserve">whether </w:t>
      </w:r>
      <w:r w:rsidR="00DC7619">
        <w:rPr>
          <w:sz w:val="24"/>
          <w:szCs w:val="24"/>
        </w:rPr>
        <w:t xml:space="preserve">it may be sent to the members of the </w:t>
      </w:r>
      <w:r w:rsidR="00BF01AD">
        <w:rPr>
          <w:sz w:val="24"/>
          <w:szCs w:val="24"/>
        </w:rPr>
        <w:t>review panel</w:t>
      </w:r>
      <w:r w:rsidR="00DC7619">
        <w:rPr>
          <w:sz w:val="24"/>
          <w:szCs w:val="24"/>
        </w:rPr>
        <w:t>.</w:t>
      </w:r>
    </w:p>
    <w:p w:rsidR="00A31CC2" w:rsidRDefault="00A31CC2" w:rsidP="00A43E41">
      <w:pPr>
        <w:rPr>
          <w:b/>
          <w:sz w:val="24"/>
          <w:szCs w:val="24"/>
        </w:rPr>
      </w:pPr>
      <w:r>
        <w:rPr>
          <w:b/>
          <w:sz w:val="24"/>
          <w:szCs w:val="24"/>
        </w:rPr>
        <w:t>Preparations for PTC Review</w:t>
      </w:r>
    </w:p>
    <w:p w:rsidR="00A31CC2" w:rsidRPr="00A31CC2" w:rsidRDefault="00A31CC2" w:rsidP="00A43E41">
      <w:pPr>
        <w:rPr>
          <w:sz w:val="24"/>
          <w:szCs w:val="24"/>
        </w:rPr>
      </w:pPr>
      <w:r>
        <w:rPr>
          <w:sz w:val="24"/>
          <w:szCs w:val="24"/>
        </w:rPr>
        <w:t xml:space="preserve">Once the dossier is deemed ready to distribute, the Assistant Director </w:t>
      </w:r>
      <w:r w:rsidR="00F5650D" w:rsidRPr="00F5650D">
        <w:rPr>
          <w:strike/>
          <w:sz w:val="24"/>
          <w:szCs w:val="24"/>
        </w:rPr>
        <w:t>of</w:t>
      </w:r>
      <w:r>
        <w:rPr>
          <w:sz w:val="24"/>
          <w:szCs w:val="24"/>
        </w:rPr>
        <w:t xml:space="preserve"> </w:t>
      </w:r>
      <w:r w:rsidR="00373149">
        <w:rPr>
          <w:sz w:val="24"/>
          <w:szCs w:val="24"/>
        </w:rPr>
        <w:t xml:space="preserve">for </w:t>
      </w:r>
      <w:r>
        <w:rPr>
          <w:sz w:val="24"/>
          <w:szCs w:val="24"/>
        </w:rPr>
        <w:t>Academic Affairs distributes it to</w:t>
      </w:r>
      <w:r w:rsidR="00E413DD">
        <w:rPr>
          <w:sz w:val="24"/>
          <w:szCs w:val="24"/>
        </w:rPr>
        <w:t xml:space="preserve"> the</w:t>
      </w:r>
      <w:r>
        <w:rPr>
          <w:sz w:val="24"/>
          <w:szCs w:val="24"/>
        </w:rPr>
        <w:t xml:space="preserve"> </w:t>
      </w:r>
      <w:r w:rsidR="00ED217E">
        <w:rPr>
          <w:sz w:val="24"/>
          <w:szCs w:val="24"/>
        </w:rPr>
        <w:t>review panel</w:t>
      </w:r>
      <w:r>
        <w:rPr>
          <w:sz w:val="24"/>
          <w:szCs w:val="24"/>
        </w:rPr>
        <w:t xml:space="preserve"> </w:t>
      </w:r>
      <w:r w:rsidR="00BF01AD">
        <w:rPr>
          <w:sz w:val="24"/>
          <w:szCs w:val="24"/>
        </w:rPr>
        <w:t>in hard copy or electronically on a CD-ROM or flash drive</w:t>
      </w:r>
      <w:r w:rsidR="009207D0">
        <w:rPr>
          <w:sz w:val="24"/>
          <w:szCs w:val="24"/>
        </w:rPr>
        <w:t xml:space="preserve">. </w:t>
      </w:r>
      <w:r w:rsidR="00E413DD">
        <w:rPr>
          <w:sz w:val="24"/>
          <w:szCs w:val="24"/>
        </w:rPr>
        <w:t>As soon as</w:t>
      </w:r>
      <w:r w:rsidR="00633B31">
        <w:rPr>
          <w:sz w:val="24"/>
          <w:szCs w:val="24"/>
        </w:rPr>
        <w:t xml:space="preserve"> the chair of the subpanel</w:t>
      </w:r>
      <w:r w:rsidR="009207D0">
        <w:rPr>
          <w:sz w:val="24"/>
          <w:szCs w:val="24"/>
        </w:rPr>
        <w:t xml:space="preserve"> and the chair of the PTC have indicated that the dossier is sufficient to meet the PTC’s needs, </w:t>
      </w:r>
      <w:r>
        <w:rPr>
          <w:sz w:val="24"/>
          <w:szCs w:val="24"/>
        </w:rPr>
        <w:t xml:space="preserve">the </w:t>
      </w:r>
      <w:r w:rsidR="001F4927">
        <w:rPr>
          <w:sz w:val="24"/>
          <w:szCs w:val="24"/>
        </w:rPr>
        <w:t xml:space="preserve">Assistant Director </w:t>
      </w:r>
      <w:r w:rsidR="00F5650D" w:rsidRPr="00F5650D">
        <w:rPr>
          <w:strike/>
          <w:sz w:val="24"/>
          <w:szCs w:val="24"/>
        </w:rPr>
        <w:t>of</w:t>
      </w:r>
      <w:r>
        <w:rPr>
          <w:sz w:val="24"/>
          <w:szCs w:val="24"/>
        </w:rPr>
        <w:t xml:space="preserve"> </w:t>
      </w:r>
      <w:r w:rsidR="00373149">
        <w:rPr>
          <w:sz w:val="24"/>
          <w:szCs w:val="24"/>
        </w:rPr>
        <w:t xml:space="preserve">for </w:t>
      </w:r>
      <w:r>
        <w:rPr>
          <w:sz w:val="24"/>
          <w:szCs w:val="24"/>
        </w:rPr>
        <w:t>Academic Affairs schedules the review.</w:t>
      </w:r>
    </w:p>
    <w:p w:rsidR="00A31CC2" w:rsidRDefault="00A31CC2" w:rsidP="00A43E41">
      <w:pPr>
        <w:rPr>
          <w:b/>
          <w:sz w:val="24"/>
          <w:szCs w:val="24"/>
        </w:rPr>
      </w:pPr>
      <w:r>
        <w:rPr>
          <w:b/>
          <w:sz w:val="24"/>
          <w:szCs w:val="24"/>
        </w:rPr>
        <w:t>Preparations for TRAC Review</w:t>
      </w:r>
    </w:p>
    <w:p w:rsidR="00A31CC2" w:rsidRPr="00A31CC2" w:rsidRDefault="00DC7C2C" w:rsidP="00A43E41">
      <w:pPr>
        <w:rPr>
          <w:sz w:val="24"/>
          <w:szCs w:val="24"/>
        </w:rPr>
      </w:pPr>
      <w:r w:rsidRPr="00DC7C2C">
        <w:rPr>
          <w:sz w:val="24"/>
          <w:szCs w:val="24"/>
        </w:rPr>
        <w:t xml:space="preserve">Upon completion </w:t>
      </w:r>
      <w:r>
        <w:rPr>
          <w:sz w:val="24"/>
          <w:szCs w:val="24"/>
        </w:rPr>
        <w:t xml:space="preserve">of the PTC </w:t>
      </w:r>
      <w:r w:rsidRPr="00DC7C2C">
        <w:rPr>
          <w:sz w:val="24"/>
          <w:szCs w:val="24"/>
        </w:rPr>
        <w:t xml:space="preserve">review and his or her own review, the Executive Vice President submits a recommendation to the </w:t>
      </w:r>
      <w:r>
        <w:rPr>
          <w:sz w:val="24"/>
          <w:szCs w:val="24"/>
        </w:rPr>
        <w:t xml:space="preserve">Provost which includes </w:t>
      </w:r>
      <w:r w:rsidR="00A31CC2" w:rsidRPr="00DC7C2C">
        <w:rPr>
          <w:sz w:val="24"/>
          <w:szCs w:val="24"/>
        </w:rPr>
        <w:t>a written account of the vote</w:t>
      </w:r>
      <w:r w:rsidR="008A514F" w:rsidRPr="00DC7C2C">
        <w:rPr>
          <w:sz w:val="24"/>
          <w:szCs w:val="24"/>
        </w:rPr>
        <w:t xml:space="preserve"> and the candidate’s dossier</w:t>
      </w:r>
      <w:r w:rsidR="00E413DD" w:rsidRPr="00DC7C2C">
        <w:rPr>
          <w:sz w:val="24"/>
          <w:szCs w:val="24"/>
        </w:rPr>
        <w:t xml:space="preserve">, and </w:t>
      </w:r>
      <w:r w:rsidR="00A31CC2" w:rsidRPr="00DC7C2C">
        <w:rPr>
          <w:sz w:val="24"/>
          <w:szCs w:val="24"/>
        </w:rPr>
        <w:t>convey</w:t>
      </w:r>
      <w:r w:rsidR="00E413DD" w:rsidRPr="00DC7C2C">
        <w:rPr>
          <w:sz w:val="24"/>
          <w:szCs w:val="24"/>
        </w:rPr>
        <w:t>s</w:t>
      </w:r>
      <w:r w:rsidR="00A31CC2" w:rsidRPr="00DC7C2C">
        <w:rPr>
          <w:sz w:val="24"/>
          <w:szCs w:val="24"/>
        </w:rPr>
        <w:t xml:space="preserve"> the outcome of each case to the department chair</w:t>
      </w:r>
      <w:r w:rsidR="00A31CC2">
        <w:rPr>
          <w:sz w:val="24"/>
          <w:szCs w:val="24"/>
        </w:rPr>
        <w:t xml:space="preserve"> who may inform the candidate. </w:t>
      </w: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0C2641" w:rsidRDefault="000C2641" w:rsidP="006A3000">
      <w:pPr>
        <w:rPr>
          <w:b/>
          <w:sz w:val="24"/>
          <w:szCs w:val="24"/>
        </w:rPr>
      </w:pPr>
    </w:p>
    <w:p w:rsidR="00162503" w:rsidRDefault="00162503" w:rsidP="00162503">
      <w:pPr>
        <w:rPr>
          <w:b/>
          <w:sz w:val="24"/>
          <w:szCs w:val="24"/>
        </w:rPr>
      </w:pPr>
    </w:p>
    <w:p w:rsidR="006A3000" w:rsidRPr="00162503" w:rsidRDefault="00A43E41" w:rsidP="00162503">
      <w:pPr>
        <w:ind w:left="-360"/>
        <w:rPr>
          <w:b/>
          <w:sz w:val="24"/>
          <w:szCs w:val="24"/>
        </w:rPr>
      </w:pPr>
      <w:r w:rsidRPr="00162503">
        <w:rPr>
          <w:b/>
          <w:sz w:val="24"/>
          <w:szCs w:val="24"/>
        </w:rPr>
        <w:lastRenderedPageBreak/>
        <w:t xml:space="preserve">Steps in a Successful Tenure </w:t>
      </w:r>
      <w:proofErr w:type="gramStart"/>
      <w:r w:rsidRPr="00162503">
        <w:rPr>
          <w:b/>
          <w:sz w:val="24"/>
          <w:szCs w:val="24"/>
        </w:rPr>
        <w:t xml:space="preserve">Review </w:t>
      </w:r>
      <w:r w:rsidR="006A3000" w:rsidRPr="00162503">
        <w:rPr>
          <w:b/>
          <w:sz w:val="24"/>
          <w:szCs w:val="24"/>
        </w:rPr>
        <w:t xml:space="preserve"> -</w:t>
      </w:r>
      <w:proofErr w:type="gramEnd"/>
      <w:r w:rsidR="006A3000" w:rsidRPr="00162503">
        <w:rPr>
          <w:b/>
          <w:sz w:val="24"/>
          <w:szCs w:val="24"/>
        </w:rPr>
        <w:t xml:space="preserve">  </w:t>
      </w:r>
      <w:r w:rsidR="003F75AE" w:rsidRPr="00162503">
        <w:rPr>
          <w:b/>
          <w:sz w:val="24"/>
          <w:szCs w:val="24"/>
        </w:rPr>
        <w:t xml:space="preserve">Initiated in 2011-12 for </w:t>
      </w:r>
      <w:r w:rsidR="000C2641" w:rsidRPr="00162503">
        <w:rPr>
          <w:b/>
          <w:sz w:val="24"/>
          <w:szCs w:val="24"/>
        </w:rPr>
        <w:t>Tenure Review</w:t>
      </w:r>
      <w:r w:rsidR="006A3000" w:rsidRPr="00162503">
        <w:rPr>
          <w:b/>
          <w:sz w:val="24"/>
          <w:szCs w:val="24"/>
        </w:rPr>
        <w:t xml:space="preserve"> to Occur in 2012-13</w:t>
      </w:r>
    </w:p>
    <w:tbl>
      <w:tblPr>
        <w:tblW w:w="11070" w:type="dxa"/>
        <w:tblInd w:w="-702" w:type="dxa"/>
        <w:tblLayout w:type="fixed"/>
        <w:tblLook w:val="04A0"/>
      </w:tblPr>
      <w:tblGrid>
        <w:gridCol w:w="630"/>
        <w:gridCol w:w="1800"/>
        <w:gridCol w:w="6660"/>
        <w:gridCol w:w="1980"/>
      </w:tblGrid>
      <w:tr w:rsidR="00B166FB" w:rsidRPr="00162503" w:rsidTr="00646E03">
        <w:trPr>
          <w:trHeight w:val="270"/>
        </w:trPr>
        <w:tc>
          <w:tcPr>
            <w:tcW w:w="6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B166FB" w:rsidRPr="00646E03" w:rsidRDefault="00B166FB" w:rsidP="00B166FB">
            <w:pPr>
              <w:spacing w:after="0" w:line="240" w:lineRule="auto"/>
              <w:rPr>
                <w:rFonts w:ascii="Calibri" w:eastAsia="Times New Roman" w:hAnsi="Calibri" w:cs="Calibri"/>
                <w:b/>
                <w:bCs/>
                <w:color w:val="000000"/>
                <w:sz w:val="20"/>
                <w:szCs w:val="20"/>
              </w:rPr>
            </w:pPr>
            <w:r w:rsidRPr="00646E03">
              <w:rPr>
                <w:rFonts w:ascii="Calibri" w:eastAsia="Times New Roman" w:hAnsi="Calibri" w:cs="Calibri"/>
                <w:b/>
                <w:bCs/>
                <w:color w:val="000000"/>
                <w:sz w:val="20"/>
                <w:szCs w:val="20"/>
              </w:rPr>
              <w:t xml:space="preserve">Step </w:t>
            </w:r>
          </w:p>
        </w:tc>
        <w:tc>
          <w:tcPr>
            <w:tcW w:w="1800" w:type="dxa"/>
            <w:tcBorders>
              <w:top w:val="single" w:sz="8" w:space="0" w:color="000000"/>
              <w:left w:val="nil"/>
              <w:bottom w:val="single" w:sz="8" w:space="0" w:color="000000"/>
              <w:right w:val="single" w:sz="8" w:space="0" w:color="000000"/>
            </w:tcBorders>
            <w:shd w:val="clear" w:color="auto" w:fill="D9D9D9" w:themeFill="background1" w:themeFillShade="D9"/>
          </w:tcPr>
          <w:p w:rsidR="00B166FB" w:rsidRPr="00646E03" w:rsidRDefault="00B166FB" w:rsidP="00B166FB">
            <w:pPr>
              <w:spacing w:after="0" w:line="240" w:lineRule="auto"/>
              <w:rPr>
                <w:rFonts w:ascii="Calibri" w:eastAsia="Times New Roman" w:hAnsi="Calibri" w:cs="Calibri"/>
                <w:b/>
                <w:bCs/>
                <w:color w:val="000000"/>
                <w:sz w:val="20"/>
                <w:szCs w:val="20"/>
              </w:rPr>
            </w:pPr>
            <w:r w:rsidRPr="00646E03">
              <w:rPr>
                <w:rFonts w:ascii="Calibri" w:eastAsia="Times New Roman" w:hAnsi="Calibri" w:cs="Calibri"/>
                <w:b/>
                <w:bCs/>
                <w:color w:val="000000"/>
                <w:sz w:val="20"/>
                <w:szCs w:val="20"/>
              </w:rPr>
              <w:t>Time Frame</w:t>
            </w:r>
          </w:p>
        </w:tc>
        <w:tc>
          <w:tcPr>
            <w:tcW w:w="6660" w:type="dxa"/>
            <w:tcBorders>
              <w:top w:val="single" w:sz="8" w:space="0" w:color="000000"/>
              <w:left w:val="nil"/>
              <w:bottom w:val="single" w:sz="8" w:space="0" w:color="000000"/>
              <w:right w:val="single" w:sz="8" w:space="0" w:color="000000"/>
            </w:tcBorders>
            <w:shd w:val="clear" w:color="auto" w:fill="D9D9D9" w:themeFill="background1" w:themeFillShade="D9"/>
          </w:tcPr>
          <w:p w:rsidR="00B166FB" w:rsidRPr="00646E03" w:rsidRDefault="00B166FB" w:rsidP="00162503">
            <w:pPr>
              <w:spacing w:after="0" w:line="240" w:lineRule="auto"/>
              <w:jc w:val="center"/>
              <w:rPr>
                <w:rFonts w:ascii="Calibri" w:eastAsia="Times New Roman" w:hAnsi="Calibri" w:cs="Calibri"/>
                <w:b/>
                <w:bCs/>
                <w:color w:val="000000"/>
                <w:sz w:val="20"/>
                <w:szCs w:val="20"/>
              </w:rPr>
            </w:pPr>
            <w:r w:rsidRPr="00646E03">
              <w:rPr>
                <w:rFonts w:ascii="Calibri" w:eastAsia="Times New Roman" w:hAnsi="Calibri" w:cs="Calibri"/>
                <w:b/>
                <w:bCs/>
                <w:color w:val="000000"/>
                <w:sz w:val="20"/>
                <w:szCs w:val="20"/>
              </w:rPr>
              <w:t>Action</w:t>
            </w:r>
          </w:p>
        </w:tc>
        <w:tc>
          <w:tcPr>
            <w:tcW w:w="1980" w:type="dxa"/>
            <w:tcBorders>
              <w:top w:val="single" w:sz="8" w:space="0" w:color="000000"/>
              <w:left w:val="nil"/>
              <w:bottom w:val="single" w:sz="8" w:space="0" w:color="000000"/>
              <w:right w:val="single" w:sz="8" w:space="0" w:color="000000"/>
            </w:tcBorders>
            <w:shd w:val="clear" w:color="auto" w:fill="D9D9D9" w:themeFill="background1" w:themeFillShade="D9"/>
          </w:tcPr>
          <w:p w:rsidR="00B166FB" w:rsidRPr="00646E03" w:rsidRDefault="00B166FB" w:rsidP="00B166FB">
            <w:pPr>
              <w:spacing w:after="0" w:line="240" w:lineRule="auto"/>
              <w:rPr>
                <w:rFonts w:ascii="Calibri" w:eastAsia="Times New Roman" w:hAnsi="Calibri" w:cs="Calibri"/>
                <w:b/>
                <w:bCs/>
                <w:color w:val="000000"/>
                <w:sz w:val="20"/>
                <w:szCs w:val="20"/>
              </w:rPr>
            </w:pPr>
            <w:r w:rsidRPr="00646E03">
              <w:rPr>
                <w:rFonts w:ascii="Calibri" w:eastAsia="Times New Roman" w:hAnsi="Calibri" w:cs="Calibri"/>
                <w:b/>
                <w:bCs/>
                <w:color w:val="000000"/>
                <w:sz w:val="20"/>
                <w:szCs w:val="20"/>
              </w:rPr>
              <w:t>Contact Person</w:t>
            </w:r>
          </w:p>
        </w:tc>
      </w:tr>
      <w:tr w:rsidR="00B166FB" w:rsidRPr="00162503" w:rsidTr="00162503">
        <w:trPr>
          <w:trHeight w:val="952"/>
        </w:trPr>
        <w:tc>
          <w:tcPr>
            <w:tcW w:w="630" w:type="dxa"/>
            <w:vMerge w:val="restart"/>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w:t>
            </w:r>
          </w:p>
        </w:tc>
        <w:tc>
          <w:tcPr>
            <w:tcW w:w="1800" w:type="dxa"/>
            <w:vMerge w:val="restart"/>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First week of October, 2011</w:t>
            </w:r>
          </w:p>
        </w:tc>
        <w:tc>
          <w:tcPr>
            <w:tcW w:w="6660" w:type="dxa"/>
            <w:tcBorders>
              <w:top w:val="nil"/>
              <w:left w:val="nil"/>
              <w:bottom w:val="nil"/>
              <w:right w:val="single" w:sz="8" w:space="0" w:color="000000"/>
            </w:tcBorders>
            <w:shd w:val="clear" w:color="auto" w:fill="auto"/>
          </w:tcPr>
          <w:p w:rsidR="00B166FB" w:rsidRPr="00162503" w:rsidRDefault="00B166FB" w:rsidP="00162503">
            <w:pPr>
              <w:spacing w:after="0" w:line="240" w:lineRule="auto"/>
              <w:rPr>
                <w:rFonts w:ascii="Calibri" w:eastAsia="Times New Roman" w:hAnsi="Calibri" w:cs="Calibri"/>
                <w:color w:val="000000"/>
                <w:sz w:val="20"/>
                <w:szCs w:val="20"/>
              </w:rPr>
            </w:pPr>
            <w:r w:rsidRPr="00162503">
              <w:rPr>
                <w:rFonts w:ascii="Calibri" w:eastAsia="Times New Roman" w:hAnsi="Calibri" w:cs="Times"/>
                <w:color w:val="000000"/>
                <w:sz w:val="20"/>
                <w:szCs w:val="20"/>
              </w:rPr>
              <w:t xml:space="preserve">The Office of Academic Affairs sends list of faculty </w:t>
            </w:r>
            <w:r w:rsidR="003F75AE" w:rsidRPr="00162503">
              <w:rPr>
                <w:rFonts w:ascii="Calibri" w:eastAsia="Times New Roman" w:hAnsi="Calibri" w:cs="Times"/>
                <w:color w:val="000000"/>
                <w:sz w:val="20"/>
                <w:szCs w:val="20"/>
              </w:rPr>
              <w:t xml:space="preserve">to chair </w:t>
            </w:r>
            <w:r w:rsidRPr="00162503">
              <w:rPr>
                <w:rFonts w:ascii="Calibri" w:eastAsia="Times New Roman" w:hAnsi="Calibri" w:cs="Times"/>
                <w:color w:val="000000"/>
                <w:sz w:val="20"/>
                <w:szCs w:val="20"/>
              </w:rPr>
              <w:t xml:space="preserve">who must be </w:t>
            </w:r>
            <w:r w:rsidR="00162503">
              <w:rPr>
                <w:rFonts w:ascii="Calibri" w:eastAsia="Times New Roman" w:hAnsi="Calibri" w:cs="Times"/>
                <w:color w:val="000000"/>
                <w:sz w:val="20"/>
                <w:szCs w:val="20"/>
              </w:rPr>
              <w:t>r</w:t>
            </w:r>
            <w:r w:rsidRPr="00162503">
              <w:rPr>
                <w:rFonts w:ascii="Calibri" w:eastAsia="Times New Roman" w:hAnsi="Calibri" w:cs="Times"/>
                <w:color w:val="000000"/>
                <w:sz w:val="20"/>
                <w:szCs w:val="20"/>
              </w:rPr>
              <w:t>eviewed in 2011-12 for consideration for tenure in 2012-13 as part of the Service Record email to department chair and academic department administrator.</w:t>
            </w:r>
          </w:p>
        </w:tc>
        <w:tc>
          <w:tcPr>
            <w:tcW w:w="1980" w:type="dxa"/>
            <w:tcBorders>
              <w:top w:val="nil"/>
              <w:left w:val="nil"/>
              <w:bottom w:val="nil"/>
              <w:right w:val="single" w:sz="8" w:space="0" w:color="000000"/>
            </w:tcBorders>
            <w:shd w:val="clear" w:color="auto" w:fill="auto"/>
          </w:tcPr>
          <w:p w:rsidR="00B166FB" w:rsidRPr="00162503" w:rsidRDefault="003F75AE"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Michael Susi, Associate Director of  Academic Affairs</w:t>
            </w:r>
          </w:p>
        </w:tc>
      </w:tr>
      <w:tr w:rsidR="00B166FB" w:rsidRPr="00162503" w:rsidTr="00162503">
        <w:trPr>
          <w:trHeight w:val="80"/>
        </w:trPr>
        <w:tc>
          <w:tcPr>
            <w:tcW w:w="63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single" w:sz="8" w:space="0" w:color="auto"/>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57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2</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By December 5, 2011</w:t>
            </w:r>
          </w:p>
        </w:tc>
        <w:tc>
          <w:tcPr>
            <w:tcW w:w="6660" w:type="dxa"/>
            <w:tcBorders>
              <w:top w:val="nil"/>
              <w:left w:val="nil"/>
              <w:bottom w:val="nil"/>
              <w:right w:val="single" w:sz="8" w:space="0" w:color="000000"/>
            </w:tcBorders>
            <w:shd w:val="clear" w:color="auto" w:fill="auto"/>
          </w:tcPr>
          <w:p w:rsidR="00B166FB" w:rsidRPr="00162503" w:rsidRDefault="00B166FB" w:rsidP="007950DC">
            <w:pPr>
              <w:spacing w:after="0" w:line="240" w:lineRule="auto"/>
              <w:rPr>
                <w:rFonts w:ascii="Calibri" w:eastAsia="Times New Roman" w:hAnsi="Calibri" w:cs="Calibri"/>
                <w:color w:val="000000"/>
                <w:sz w:val="20"/>
                <w:szCs w:val="20"/>
              </w:rPr>
            </w:pPr>
            <w:r w:rsidRPr="00162503">
              <w:rPr>
                <w:rFonts w:ascii="Calibri" w:eastAsia="Times New Roman" w:hAnsi="Calibri" w:cs="Times"/>
                <w:color w:val="000000"/>
                <w:sz w:val="20"/>
                <w:szCs w:val="20"/>
              </w:rPr>
              <w:t xml:space="preserve">Department requests authorization from </w:t>
            </w:r>
            <w:r w:rsidR="007950DC" w:rsidRPr="00162503">
              <w:rPr>
                <w:rFonts w:ascii="Calibri" w:eastAsia="Times New Roman" w:hAnsi="Calibri" w:cs="Times"/>
                <w:color w:val="000000"/>
                <w:sz w:val="20"/>
                <w:szCs w:val="20"/>
              </w:rPr>
              <w:t>Divisional Dean</w:t>
            </w:r>
            <w:r w:rsidRPr="00162503">
              <w:rPr>
                <w:rFonts w:ascii="Calibri" w:eastAsia="Times New Roman" w:hAnsi="Calibri" w:cs="Times"/>
                <w:color w:val="000000"/>
                <w:sz w:val="20"/>
                <w:szCs w:val="20"/>
              </w:rPr>
              <w:t xml:space="preserve"> to conduct a review via Office of Academic Affairs, providing the following information:</w:t>
            </w:r>
          </w:p>
        </w:tc>
        <w:tc>
          <w:tcPr>
            <w:tcW w:w="198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Department Chair </w:t>
            </w:r>
          </w:p>
        </w:tc>
      </w:tr>
      <w:tr w:rsidR="00B166FB" w:rsidRPr="00162503" w:rsidTr="00162503">
        <w:trPr>
          <w:trHeight w:val="255"/>
        </w:trPr>
        <w:tc>
          <w:tcPr>
            <w:tcW w:w="63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1)</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Department’s need for tenured appointment in field of specialization</w:t>
            </w:r>
          </w:p>
        </w:tc>
        <w:tc>
          <w:tcPr>
            <w:tcW w:w="198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 </w:t>
            </w:r>
          </w:p>
        </w:tc>
      </w:tr>
      <w:tr w:rsidR="00B166FB" w:rsidRPr="00162503" w:rsidTr="00162503">
        <w:trPr>
          <w:trHeight w:val="255"/>
        </w:trPr>
        <w:tc>
          <w:tcPr>
            <w:tcW w:w="63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2)</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Initial assessment of likelihood of nomination</w:t>
            </w:r>
          </w:p>
        </w:tc>
        <w:tc>
          <w:tcPr>
            <w:tcW w:w="198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Michael Susi</w:t>
            </w:r>
          </w:p>
        </w:tc>
      </w:tr>
      <w:tr w:rsidR="00B166FB" w:rsidRPr="00162503" w:rsidTr="00162503">
        <w:trPr>
          <w:trHeight w:val="187"/>
        </w:trPr>
        <w:tc>
          <w:tcPr>
            <w:tcW w:w="63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single" w:sz="8" w:space="0" w:color="000000"/>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3)</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 xml:space="preserve">Preliminary assessment of candidate’s qualifications for tenure </w:t>
            </w:r>
          </w:p>
        </w:tc>
        <w:tc>
          <w:tcPr>
            <w:tcW w:w="198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B166FB" w:rsidRPr="00162503" w:rsidTr="00162503">
        <w:trPr>
          <w:trHeight w:val="295"/>
        </w:trPr>
        <w:tc>
          <w:tcPr>
            <w:tcW w:w="630" w:type="dxa"/>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3</w:t>
            </w:r>
          </w:p>
        </w:tc>
        <w:tc>
          <w:tcPr>
            <w:tcW w:w="180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By December 16, 2011</w:t>
            </w:r>
          </w:p>
        </w:tc>
        <w:tc>
          <w:tcPr>
            <w:tcW w:w="6660" w:type="dxa"/>
            <w:tcBorders>
              <w:top w:val="nil"/>
              <w:left w:val="nil"/>
              <w:bottom w:val="single" w:sz="8" w:space="0" w:color="000000"/>
              <w:right w:val="single" w:sz="8" w:space="0" w:color="000000"/>
            </w:tcBorders>
            <w:shd w:val="clear" w:color="auto" w:fill="auto"/>
          </w:tcPr>
          <w:p w:rsidR="00B166FB" w:rsidRPr="00162503" w:rsidRDefault="007950DC" w:rsidP="001F4927">
            <w:pPr>
              <w:spacing w:after="0" w:line="240" w:lineRule="auto"/>
              <w:rPr>
                <w:rFonts w:ascii="Calibri" w:eastAsia="Times New Roman" w:hAnsi="Calibri" w:cs="Calibri"/>
                <w:color w:val="000000"/>
                <w:sz w:val="20"/>
                <w:szCs w:val="20"/>
              </w:rPr>
            </w:pPr>
            <w:r w:rsidRPr="00162503">
              <w:rPr>
                <w:rFonts w:ascii="Calibri" w:eastAsia="Times New Roman" w:hAnsi="Calibri" w:cs="Times"/>
                <w:color w:val="000000"/>
                <w:sz w:val="20"/>
                <w:szCs w:val="20"/>
              </w:rPr>
              <w:t>Divisional dean</w:t>
            </w:r>
            <w:r w:rsidR="00B166FB" w:rsidRPr="00162503">
              <w:rPr>
                <w:rFonts w:ascii="Calibri" w:eastAsia="Times New Roman" w:hAnsi="Calibri" w:cs="Times"/>
                <w:color w:val="000000"/>
                <w:sz w:val="20"/>
                <w:szCs w:val="20"/>
              </w:rPr>
              <w:t xml:space="preserve"> authorizes the department to conduct a review.</w:t>
            </w:r>
          </w:p>
        </w:tc>
        <w:tc>
          <w:tcPr>
            <w:tcW w:w="1980" w:type="dxa"/>
            <w:tcBorders>
              <w:top w:val="nil"/>
              <w:left w:val="nil"/>
              <w:bottom w:val="single" w:sz="8" w:space="0" w:color="000000"/>
              <w:right w:val="single" w:sz="8" w:space="0" w:color="000000"/>
            </w:tcBorders>
            <w:shd w:val="clear" w:color="auto" w:fill="auto"/>
          </w:tcPr>
          <w:p w:rsidR="00B166FB" w:rsidRPr="00162503" w:rsidRDefault="007950DC"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Divisional Dean</w:t>
            </w:r>
          </w:p>
        </w:tc>
      </w:tr>
      <w:tr w:rsidR="00B166FB" w:rsidRPr="00162503" w:rsidTr="00162503">
        <w:trPr>
          <w:trHeight w:val="555"/>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4</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By January 17, 2012</w:t>
            </w:r>
          </w:p>
        </w:tc>
        <w:tc>
          <w:tcPr>
            <w:tcW w:w="666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Department invites candidate to prepare materials and names review committee. Written invitation asks candidate to gather: </w:t>
            </w:r>
          </w:p>
        </w:tc>
        <w:tc>
          <w:tcPr>
            <w:tcW w:w="198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B166FB"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1)</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 xml:space="preserve">updated curriculum vitae </w:t>
            </w: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2)</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 representative set of written work, published and unpublished</w:t>
            </w: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525"/>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single" w:sz="8" w:space="0" w:color="000000"/>
              <w:right w:val="single" w:sz="8" w:space="0" w:color="000000"/>
            </w:tcBorders>
            <w:shd w:val="clear" w:color="auto" w:fill="auto"/>
          </w:tcPr>
          <w:p w:rsidR="00B166FB" w:rsidRPr="00162503" w:rsidRDefault="00B166FB"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3)</w:t>
            </w:r>
            <w:r w:rsidRPr="00162503">
              <w:rPr>
                <w:rFonts w:ascii="Times New Roman" w:eastAsia="Times New Roman" w:hAnsi="Times New Roman" w:cs="Times New Roman"/>
                <w:color w:val="000000"/>
                <w:sz w:val="20"/>
                <w:szCs w:val="20"/>
              </w:rPr>
              <w:t xml:space="preserve"> </w:t>
            </w:r>
            <w:proofErr w:type="gramStart"/>
            <w:r w:rsidRPr="00162503">
              <w:rPr>
                <w:rFonts w:ascii="Calibri" w:eastAsia="Times New Roman" w:hAnsi="Calibri" w:cs="Calibri"/>
                <w:color w:val="000000"/>
                <w:sz w:val="20"/>
                <w:szCs w:val="20"/>
              </w:rPr>
              <w:t>brief</w:t>
            </w:r>
            <w:proofErr w:type="gramEnd"/>
            <w:r w:rsidRPr="00162503">
              <w:rPr>
                <w:rFonts w:ascii="Calibri" w:eastAsia="Times New Roman" w:hAnsi="Calibri" w:cs="Calibri"/>
                <w:color w:val="000000"/>
                <w:sz w:val="20"/>
                <w:szCs w:val="20"/>
              </w:rPr>
              <w:t xml:space="preserve"> statement of 5-10 pages that discusses his or her current research and teaching and plans for future projects.</w:t>
            </w: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412"/>
        </w:trPr>
        <w:tc>
          <w:tcPr>
            <w:tcW w:w="630" w:type="dxa"/>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5</w:t>
            </w:r>
          </w:p>
        </w:tc>
        <w:tc>
          <w:tcPr>
            <w:tcW w:w="180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From February 1 to March 23, 2012 </w:t>
            </w:r>
          </w:p>
        </w:tc>
        <w:tc>
          <w:tcPr>
            <w:tcW w:w="666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Candidate submits materials to department.</w:t>
            </w:r>
          </w:p>
        </w:tc>
        <w:tc>
          <w:tcPr>
            <w:tcW w:w="198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B166FB" w:rsidRPr="00162503" w:rsidTr="00162503">
        <w:trPr>
          <w:trHeight w:val="780"/>
        </w:trPr>
        <w:tc>
          <w:tcPr>
            <w:tcW w:w="630" w:type="dxa"/>
            <w:tcBorders>
              <w:top w:val="single" w:sz="8" w:space="0" w:color="auto"/>
              <w:left w:val="single" w:sz="8" w:space="0" w:color="auto"/>
              <w:bottom w:val="single" w:sz="8" w:space="0" w:color="auto"/>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6</w:t>
            </w:r>
          </w:p>
        </w:tc>
        <w:tc>
          <w:tcPr>
            <w:tcW w:w="1800" w:type="dxa"/>
            <w:tcBorders>
              <w:top w:val="single" w:sz="8" w:space="0" w:color="auto"/>
              <w:left w:val="nil"/>
              <w:bottom w:val="single" w:sz="8" w:space="0" w:color="auto"/>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By March 30, 2012</w:t>
            </w:r>
          </w:p>
        </w:tc>
        <w:tc>
          <w:tcPr>
            <w:tcW w:w="6660" w:type="dxa"/>
            <w:tcBorders>
              <w:top w:val="single" w:sz="8" w:space="0" w:color="auto"/>
              <w:left w:val="nil"/>
              <w:bottom w:val="single" w:sz="8" w:space="0" w:color="auto"/>
              <w:right w:val="single" w:sz="8" w:space="0" w:color="000000"/>
            </w:tcBorders>
            <w:shd w:val="clear" w:color="auto" w:fill="auto"/>
          </w:tcPr>
          <w:p w:rsidR="00B166FB" w:rsidRPr="00162503" w:rsidRDefault="00B166FB" w:rsidP="007950D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On the basis of the review, department determines whether to proceed to the letter writing stage.  Department chair notifies Office of Academic Affairs of its decision.</w:t>
            </w:r>
          </w:p>
        </w:tc>
        <w:tc>
          <w:tcPr>
            <w:tcW w:w="1980" w:type="dxa"/>
            <w:tcBorders>
              <w:top w:val="single" w:sz="8" w:space="0" w:color="auto"/>
              <w:left w:val="nil"/>
              <w:bottom w:val="single" w:sz="8" w:space="0" w:color="auto"/>
              <w:right w:val="single" w:sz="8" w:space="0" w:color="auto"/>
            </w:tcBorders>
            <w:shd w:val="clear" w:color="auto" w:fill="auto"/>
          </w:tcPr>
          <w:p w:rsidR="00CC777C" w:rsidRPr="00162503" w:rsidRDefault="00CC777C"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br/>
              <w:t>Michael Susi</w:t>
            </w:r>
          </w:p>
        </w:tc>
      </w:tr>
      <w:tr w:rsidR="00C3017F" w:rsidRPr="00162503" w:rsidTr="00162503">
        <w:trPr>
          <w:trHeight w:val="255"/>
        </w:trPr>
        <w:tc>
          <w:tcPr>
            <w:tcW w:w="630" w:type="dxa"/>
            <w:vMerge w:val="restart"/>
            <w:tcBorders>
              <w:top w:val="single" w:sz="8" w:space="0" w:color="auto"/>
              <w:left w:val="single" w:sz="8" w:space="0" w:color="000000"/>
              <w:bottom w:val="single" w:sz="8" w:space="0" w:color="000000"/>
              <w:right w:val="single" w:sz="8" w:space="0" w:color="000000"/>
            </w:tcBorders>
            <w:shd w:val="clear" w:color="auto" w:fill="auto"/>
          </w:tcPr>
          <w:p w:rsidR="00C3017F" w:rsidRPr="00162503" w:rsidRDefault="00C3017F"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7</w:t>
            </w:r>
          </w:p>
        </w:tc>
        <w:tc>
          <w:tcPr>
            <w:tcW w:w="1800" w:type="dxa"/>
            <w:vMerge w:val="restart"/>
            <w:tcBorders>
              <w:top w:val="single" w:sz="8" w:space="0" w:color="auto"/>
              <w:left w:val="single" w:sz="8" w:space="0" w:color="000000"/>
              <w:right w:val="single" w:sz="8" w:space="0" w:color="000000"/>
            </w:tcBorders>
            <w:shd w:val="clear" w:color="auto" w:fill="auto"/>
          </w:tcPr>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By first week of April, 2012</w:t>
            </w:r>
          </w:p>
        </w:tc>
        <w:tc>
          <w:tcPr>
            <w:tcW w:w="6660" w:type="dxa"/>
            <w:tcBorders>
              <w:top w:val="single" w:sz="8" w:space="0" w:color="auto"/>
              <w:left w:val="nil"/>
              <w:bottom w:val="nil"/>
              <w:right w:val="single" w:sz="8" w:space="0" w:color="000000"/>
            </w:tcBorders>
            <w:shd w:val="clear" w:color="auto" w:fill="auto"/>
          </w:tcPr>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Department chair submits to Office of Academic Affairs for approval by divisional dean: </w:t>
            </w:r>
          </w:p>
        </w:tc>
        <w:tc>
          <w:tcPr>
            <w:tcW w:w="1980" w:type="dxa"/>
            <w:tcBorders>
              <w:top w:val="single" w:sz="8" w:space="0" w:color="auto"/>
              <w:left w:val="nil"/>
              <w:right w:val="single" w:sz="8" w:space="0" w:color="000000"/>
            </w:tcBorders>
            <w:shd w:val="clear" w:color="auto" w:fill="auto"/>
          </w:tcPr>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C3017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b/>
                <w:bCs/>
                <w:color w:val="000000"/>
                <w:sz w:val="20"/>
                <w:szCs w:val="20"/>
              </w:rPr>
            </w:pPr>
          </w:p>
        </w:tc>
        <w:tc>
          <w:tcPr>
            <w:tcW w:w="1800" w:type="dxa"/>
            <w:vMerge/>
            <w:tcBorders>
              <w:left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1)</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an updated curriculum vitae (dated at top)</w:t>
            </w:r>
          </w:p>
        </w:tc>
        <w:tc>
          <w:tcPr>
            <w:tcW w:w="1980" w:type="dxa"/>
            <w:tcBorders>
              <w:top w:val="nil"/>
              <w:left w:val="nil"/>
              <w:bottom w:val="nil"/>
              <w:right w:val="single" w:sz="8" w:space="0" w:color="000000"/>
            </w:tcBorders>
            <w:shd w:val="clear" w:color="auto" w:fill="auto"/>
          </w:tcPr>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r>
      <w:tr w:rsidR="00C3017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b/>
                <w:bCs/>
                <w:color w:val="000000"/>
                <w:sz w:val="20"/>
                <w:szCs w:val="20"/>
              </w:rPr>
            </w:pPr>
          </w:p>
        </w:tc>
        <w:tc>
          <w:tcPr>
            <w:tcW w:w="1800" w:type="dxa"/>
            <w:vMerge/>
            <w:tcBorders>
              <w:left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color w:val="000000"/>
                <w:sz w:val="20"/>
                <w:szCs w:val="20"/>
              </w:rPr>
            </w:pPr>
          </w:p>
        </w:tc>
        <w:tc>
          <w:tcPr>
            <w:tcW w:w="6660" w:type="dxa"/>
            <w:tcBorders>
              <w:top w:val="nil"/>
              <w:left w:val="nil"/>
              <w:bottom w:val="nil"/>
              <w:right w:val="single" w:sz="8" w:space="0" w:color="000000"/>
            </w:tcBorders>
            <w:shd w:val="clear" w:color="auto" w:fill="auto"/>
          </w:tcPr>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2)</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 list of three consultants whom the EVPAS might consult</w:t>
            </w:r>
          </w:p>
        </w:tc>
        <w:tc>
          <w:tcPr>
            <w:tcW w:w="1980" w:type="dxa"/>
            <w:vMerge w:val="restart"/>
            <w:tcBorders>
              <w:top w:val="nil"/>
              <w:left w:val="nil"/>
              <w:right w:val="single" w:sz="8" w:space="0" w:color="000000"/>
            </w:tcBorders>
            <w:shd w:val="clear" w:color="auto" w:fill="auto"/>
          </w:tcPr>
          <w:p w:rsidR="00C3017F" w:rsidRPr="00162503" w:rsidRDefault="00C3017F" w:rsidP="00B166FB">
            <w:pPr>
              <w:spacing w:after="0" w:line="240" w:lineRule="auto"/>
              <w:rPr>
                <w:rFonts w:ascii="Calibri" w:eastAsia="Times New Roman" w:hAnsi="Calibri" w:cs="Calibri"/>
                <w:color w:val="000000"/>
                <w:sz w:val="20"/>
                <w:szCs w:val="20"/>
              </w:rPr>
            </w:pPr>
          </w:p>
          <w:p w:rsidR="00C3017F" w:rsidRPr="00162503" w:rsidRDefault="00C3017F" w:rsidP="00B166FB">
            <w:pPr>
              <w:spacing w:after="0" w:line="240" w:lineRule="auto"/>
              <w:rPr>
                <w:rFonts w:ascii="Calibri" w:eastAsia="Times New Roman" w:hAnsi="Calibri" w:cs="Calibri"/>
                <w:color w:val="000000"/>
                <w:sz w:val="20"/>
                <w:szCs w:val="20"/>
              </w:rPr>
            </w:pPr>
          </w:p>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Michael Susi </w:t>
            </w:r>
          </w:p>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Times New Roman" w:eastAsia="Times New Roman" w:hAnsi="Times New Roman" w:cs="Times New Roman"/>
                <w:color w:val="000000"/>
                <w:sz w:val="20"/>
                <w:szCs w:val="20"/>
              </w:rPr>
              <w:t> </w:t>
            </w:r>
          </w:p>
          <w:p w:rsidR="00C3017F" w:rsidRPr="00162503" w:rsidRDefault="00C3017F" w:rsidP="00B166FB">
            <w:pPr>
              <w:spacing w:after="0" w:line="240" w:lineRule="auto"/>
              <w:rPr>
                <w:rFonts w:ascii="Calibri" w:eastAsia="Times New Roman" w:hAnsi="Calibri" w:cs="Calibri"/>
                <w:color w:val="000000"/>
                <w:sz w:val="20"/>
                <w:szCs w:val="20"/>
              </w:rPr>
            </w:pPr>
            <w:r w:rsidRPr="00162503">
              <w:rPr>
                <w:rFonts w:ascii="Times New Roman" w:eastAsia="Times New Roman" w:hAnsi="Times New Roman" w:cs="Times New Roman"/>
                <w:color w:val="000000"/>
                <w:sz w:val="20"/>
                <w:szCs w:val="20"/>
              </w:rPr>
              <w:t> </w:t>
            </w:r>
          </w:p>
        </w:tc>
      </w:tr>
      <w:tr w:rsidR="00C3017F" w:rsidRPr="00162503" w:rsidTr="00162503">
        <w:trPr>
          <w:trHeight w:val="970"/>
        </w:trPr>
        <w:tc>
          <w:tcPr>
            <w:tcW w:w="630" w:type="dxa"/>
            <w:vMerge/>
            <w:tcBorders>
              <w:top w:val="nil"/>
              <w:left w:val="single" w:sz="8" w:space="0" w:color="000000"/>
              <w:bottom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b/>
                <w:bCs/>
                <w:color w:val="000000"/>
                <w:sz w:val="20"/>
                <w:szCs w:val="20"/>
              </w:rPr>
            </w:pPr>
          </w:p>
        </w:tc>
        <w:tc>
          <w:tcPr>
            <w:tcW w:w="1800" w:type="dxa"/>
            <w:vMerge/>
            <w:tcBorders>
              <w:left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color w:val="000000"/>
                <w:sz w:val="20"/>
                <w:szCs w:val="20"/>
              </w:rPr>
            </w:pPr>
          </w:p>
        </w:tc>
        <w:tc>
          <w:tcPr>
            <w:tcW w:w="6660" w:type="dxa"/>
            <w:tcBorders>
              <w:top w:val="nil"/>
              <w:left w:val="nil"/>
              <w:right w:val="single" w:sz="8" w:space="0" w:color="000000"/>
            </w:tcBorders>
            <w:shd w:val="clear" w:color="auto" w:fill="auto"/>
          </w:tcPr>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3)</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an annotated list of 18-20 referees to whom the EVPAS might write for letters</w:t>
            </w:r>
          </w:p>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4)</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an annotated list of 5-6  scholars in the candidate’s field with who he or she might be compared</w:t>
            </w:r>
          </w:p>
        </w:tc>
        <w:tc>
          <w:tcPr>
            <w:tcW w:w="1980" w:type="dxa"/>
            <w:vMerge/>
            <w:tcBorders>
              <w:left w:val="nil"/>
              <w:right w:val="single" w:sz="8" w:space="0" w:color="000000"/>
            </w:tcBorders>
            <w:shd w:val="clear" w:color="auto" w:fill="auto"/>
          </w:tcPr>
          <w:p w:rsidR="00C3017F" w:rsidRPr="00162503" w:rsidRDefault="00C3017F" w:rsidP="00B166FB">
            <w:pPr>
              <w:spacing w:after="0" w:line="240" w:lineRule="auto"/>
              <w:rPr>
                <w:rFonts w:ascii="Times New Roman" w:eastAsia="Times New Roman" w:hAnsi="Times New Roman" w:cs="Times New Roman"/>
                <w:color w:val="000000"/>
                <w:sz w:val="20"/>
                <w:szCs w:val="20"/>
              </w:rPr>
            </w:pPr>
          </w:p>
        </w:tc>
      </w:tr>
      <w:tr w:rsidR="00C3017F" w:rsidRPr="00162503" w:rsidTr="00162503">
        <w:trPr>
          <w:trHeight w:val="780"/>
        </w:trPr>
        <w:tc>
          <w:tcPr>
            <w:tcW w:w="630" w:type="dxa"/>
            <w:vMerge/>
            <w:tcBorders>
              <w:top w:val="single" w:sz="8" w:space="0" w:color="000000"/>
              <w:left w:val="single" w:sz="8" w:space="0" w:color="000000"/>
              <w:bottom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b/>
                <w:bCs/>
                <w:color w:val="000000"/>
                <w:sz w:val="20"/>
                <w:szCs w:val="20"/>
              </w:rPr>
            </w:pPr>
          </w:p>
        </w:tc>
        <w:tc>
          <w:tcPr>
            <w:tcW w:w="1800" w:type="dxa"/>
            <w:tcBorders>
              <w:left w:val="single" w:sz="8" w:space="0" w:color="000000"/>
              <w:bottom w:val="single" w:sz="8" w:space="0" w:color="000000"/>
              <w:right w:val="single" w:sz="8" w:space="0" w:color="000000"/>
            </w:tcBorders>
            <w:vAlign w:val="center"/>
          </w:tcPr>
          <w:p w:rsidR="00C3017F" w:rsidRPr="00162503" w:rsidRDefault="00C3017F" w:rsidP="00B166FB">
            <w:pPr>
              <w:spacing w:after="0" w:line="240" w:lineRule="auto"/>
              <w:rPr>
                <w:rFonts w:ascii="Calibri" w:eastAsia="Times New Roman" w:hAnsi="Calibri" w:cs="Calibri"/>
                <w:color w:val="000000"/>
                <w:sz w:val="20"/>
                <w:szCs w:val="20"/>
              </w:rPr>
            </w:pPr>
          </w:p>
        </w:tc>
        <w:tc>
          <w:tcPr>
            <w:tcW w:w="6660" w:type="dxa"/>
            <w:tcBorders>
              <w:left w:val="nil"/>
              <w:bottom w:val="single" w:sz="8" w:space="0" w:color="000000"/>
              <w:right w:val="single" w:sz="8" w:space="0" w:color="000000"/>
            </w:tcBorders>
            <w:shd w:val="clear" w:color="auto" w:fill="auto"/>
          </w:tcPr>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5)</w:t>
            </w:r>
            <w:r w:rsidRPr="00162503">
              <w:rPr>
                <w:rFonts w:ascii="Times New Roman" w:eastAsia="Times New Roman" w:hAnsi="Times New Roman" w:cs="Times New Roman"/>
                <w:color w:val="000000"/>
                <w:sz w:val="20"/>
                <w:szCs w:val="20"/>
              </w:rPr>
              <w:t xml:space="preserve"> </w:t>
            </w:r>
            <w:r w:rsidRPr="00162503">
              <w:rPr>
                <w:rFonts w:ascii="Calibri" w:eastAsia="Times New Roman" w:hAnsi="Calibri" w:cs="Calibri"/>
                <w:color w:val="000000"/>
                <w:sz w:val="20"/>
                <w:szCs w:val="20"/>
              </w:rPr>
              <w:t>a list of 4 members of the Columbia faculty who might serve on the PTC sub</w:t>
            </w:r>
            <w:r w:rsidR="00633B31">
              <w:rPr>
                <w:rFonts w:ascii="Calibri" w:eastAsia="Times New Roman" w:hAnsi="Calibri" w:cs="Calibri"/>
                <w:color w:val="000000"/>
                <w:sz w:val="20"/>
                <w:szCs w:val="20"/>
              </w:rPr>
              <w:t>panel</w:t>
            </w:r>
            <w:r w:rsidRPr="00162503">
              <w:rPr>
                <w:rFonts w:ascii="Calibri" w:eastAsia="Times New Roman" w:hAnsi="Calibri" w:cs="Calibri"/>
                <w:color w:val="000000"/>
                <w:sz w:val="20"/>
                <w:szCs w:val="20"/>
              </w:rPr>
              <w:t xml:space="preserve"> (with expertise in the candidate’s field, or in fields cognate with the candidate’s)</w:t>
            </w:r>
          </w:p>
          <w:p w:rsidR="00C3017F" w:rsidRPr="00162503" w:rsidRDefault="00C3017F" w:rsidP="00162503">
            <w:pPr>
              <w:spacing w:after="0" w:line="240" w:lineRule="auto"/>
              <w:ind w:firstLineChars="100" w:firstLine="200"/>
              <w:rPr>
                <w:rFonts w:ascii="Calibri" w:eastAsia="Times New Roman" w:hAnsi="Calibri" w:cs="Calibri"/>
                <w:color w:val="000000"/>
                <w:sz w:val="20"/>
                <w:szCs w:val="20"/>
              </w:rPr>
            </w:pPr>
            <w:r w:rsidRPr="00162503">
              <w:rPr>
                <w:rFonts w:ascii="Calibri" w:eastAsia="Times New Roman" w:hAnsi="Calibri" w:cs="Calibri"/>
                <w:color w:val="000000"/>
                <w:sz w:val="20"/>
                <w:szCs w:val="20"/>
              </w:rPr>
              <w:t>6) a description of the candidate’s field(s) of study</w:t>
            </w:r>
          </w:p>
        </w:tc>
        <w:tc>
          <w:tcPr>
            <w:tcW w:w="1980" w:type="dxa"/>
            <w:tcBorders>
              <w:left w:val="nil"/>
              <w:bottom w:val="single" w:sz="8" w:space="0" w:color="000000"/>
              <w:right w:val="single" w:sz="8" w:space="0" w:color="000000"/>
            </w:tcBorders>
            <w:shd w:val="clear" w:color="auto" w:fill="auto"/>
          </w:tcPr>
          <w:p w:rsidR="00C3017F" w:rsidRPr="00162503" w:rsidRDefault="00C3017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B166FB" w:rsidRPr="00162503" w:rsidTr="00162503">
        <w:trPr>
          <w:trHeight w:val="269"/>
        </w:trPr>
        <w:tc>
          <w:tcPr>
            <w:tcW w:w="630" w:type="dxa"/>
            <w:vMerge w:val="restart"/>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8</w:t>
            </w:r>
          </w:p>
        </w:tc>
        <w:tc>
          <w:tcPr>
            <w:tcW w:w="1800" w:type="dxa"/>
            <w:vMerge w:val="restart"/>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April 16 until May 1, 2012</w:t>
            </w:r>
          </w:p>
        </w:tc>
        <w:tc>
          <w:tcPr>
            <w:tcW w:w="6660" w:type="dxa"/>
            <w:vMerge w:val="restart"/>
            <w:tcBorders>
              <w:top w:val="nil"/>
              <w:left w:val="single" w:sz="8" w:space="0" w:color="000000"/>
              <w:bottom w:val="nil"/>
              <w:right w:val="single" w:sz="8" w:space="0" w:color="000000"/>
            </w:tcBorders>
            <w:shd w:val="clear" w:color="auto" w:fill="auto"/>
          </w:tcPr>
          <w:p w:rsidR="00B166FB" w:rsidRPr="00162503" w:rsidRDefault="00B166FB" w:rsidP="007950D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prepares publication sets in electronic or hard copy</w:t>
            </w:r>
            <w:r w:rsidRPr="00162503">
              <w:rPr>
                <w:rFonts w:ascii="Calibri" w:eastAsia="Times New Roman" w:hAnsi="Calibri" w:cs="Calibri"/>
                <w:color w:val="FF0000"/>
                <w:sz w:val="20"/>
                <w:szCs w:val="20"/>
              </w:rPr>
              <w:t xml:space="preserve"> </w:t>
            </w:r>
            <w:r w:rsidRPr="00162503">
              <w:rPr>
                <w:rFonts w:ascii="Calibri" w:eastAsia="Times New Roman" w:hAnsi="Calibri" w:cs="Calibri"/>
                <w:color w:val="000000"/>
                <w:sz w:val="20"/>
                <w:szCs w:val="20"/>
              </w:rPr>
              <w:t>so that they are available for mailing to referees</w:t>
            </w:r>
            <w:r w:rsidR="007950DC" w:rsidRPr="00162503">
              <w:rPr>
                <w:rFonts w:ascii="Calibri" w:eastAsia="Times New Roman" w:hAnsi="Calibri" w:cs="Calibri"/>
                <w:color w:val="000000"/>
                <w:sz w:val="20"/>
                <w:szCs w:val="20"/>
              </w:rPr>
              <w:t>. At least 10 sets should be available for mailing.</w:t>
            </w:r>
            <w:r w:rsidRPr="00162503">
              <w:rPr>
                <w:rFonts w:ascii="Calibri" w:eastAsia="Times New Roman" w:hAnsi="Calibri" w:cs="Calibri"/>
                <w:color w:val="000000"/>
                <w:sz w:val="20"/>
                <w:szCs w:val="20"/>
              </w:rPr>
              <w:t xml:space="preserve"> If books are in print, they must be purchased to use in the publication set.  </w:t>
            </w:r>
          </w:p>
        </w:tc>
        <w:tc>
          <w:tcPr>
            <w:tcW w:w="1980" w:type="dxa"/>
            <w:vMerge w:val="restart"/>
            <w:tcBorders>
              <w:top w:val="nil"/>
              <w:left w:val="single" w:sz="8" w:space="0" w:color="000000"/>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Chair’s designee.</w:t>
            </w:r>
          </w:p>
        </w:tc>
      </w:tr>
      <w:tr w:rsidR="00B166FB" w:rsidRPr="00162503" w:rsidTr="00162503">
        <w:trPr>
          <w:trHeight w:val="270"/>
        </w:trPr>
        <w:tc>
          <w:tcPr>
            <w:tcW w:w="63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nil"/>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952"/>
        </w:trPr>
        <w:tc>
          <w:tcPr>
            <w:tcW w:w="630" w:type="dxa"/>
            <w:tcBorders>
              <w:top w:val="single" w:sz="8" w:space="0" w:color="auto"/>
              <w:left w:val="single" w:sz="8" w:space="0" w:color="auto"/>
              <w:bottom w:val="single" w:sz="8" w:space="0" w:color="auto"/>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9</w:t>
            </w:r>
          </w:p>
        </w:tc>
        <w:tc>
          <w:tcPr>
            <w:tcW w:w="1800" w:type="dxa"/>
            <w:tcBorders>
              <w:top w:val="single" w:sz="8" w:space="0" w:color="auto"/>
              <w:left w:val="nil"/>
              <w:bottom w:val="single" w:sz="8" w:space="0" w:color="auto"/>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May 1 to May 30, 2012</w:t>
            </w:r>
          </w:p>
        </w:tc>
        <w:tc>
          <w:tcPr>
            <w:tcW w:w="6660" w:type="dxa"/>
            <w:tcBorders>
              <w:top w:val="single" w:sz="8" w:space="0" w:color="auto"/>
              <w:left w:val="nil"/>
              <w:bottom w:val="single" w:sz="8" w:space="0" w:color="auto"/>
              <w:right w:val="single" w:sz="8" w:space="0" w:color="000000"/>
            </w:tcBorders>
            <w:shd w:val="clear" w:color="auto" w:fill="auto"/>
          </w:tcPr>
          <w:p w:rsidR="00B166FB" w:rsidRPr="00162503" w:rsidRDefault="00B166FB" w:rsidP="000F1B17">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EVPAS solicits letters via email from referees.  Executive Assistant checks with chair to review the letter </w:t>
            </w:r>
            <w:r w:rsidR="00ED217E" w:rsidRPr="00162503">
              <w:rPr>
                <w:rFonts w:ascii="Calibri" w:eastAsia="Times New Roman" w:hAnsi="Calibri" w:cs="Calibri"/>
                <w:color w:val="000000"/>
                <w:sz w:val="20"/>
                <w:szCs w:val="20"/>
              </w:rPr>
              <w:t xml:space="preserve">draft </w:t>
            </w:r>
            <w:r w:rsidRPr="00162503">
              <w:rPr>
                <w:rFonts w:ascii="Calibri" w:eastAsia="Times New Roman" w:hAnsi="Calibri" w:cs="Calibri"/>
                <w:color w:val="000000"/>
                <w:sz w:val="20"/>
                <w:szCs w:val="20"/>
              </w:rPr>
              <w:t xml:space="preserve">and </w:t>
            </w:r>
            <w:r w:rsidR="00ED217E" w:rsidRPr="00162503">
              <w:rPr>
                <w:rFonts w:ascii="Calibri" w:eastAsia="Times New Roman" w:hAnsi="Calibri" w:cs="Calibri"/>
                <w:color w:val="000000"/>
                <w:sz w:val="20"/>
                <w:szCs w:val="20"/>
              </w:rPr>
              <w:t>approve</w:t>
            </w:r>
            <w:r w:rsidRPr="00162503">
              <w:rPr>
                <w:rFonts w:ascii="Calibri" w:eastAsia="Times New Roman" w:hAnsi="Calibri" w:cs="Calibri"/>
                <w:color w:val="000000"/>
                <w:sz w:val="20"/>
                <w:szCs w:val="20"/>
              </w:rPr>
              <w:t xml:space="preserve"> the deadline before sending. </w:t>
            </w:r>
          </w:p>
        </w:tc>
        <w:tc>
          <w:tcPr>
            <w:tcW w:w="1980" w:type="dxa"/>
            <w:tcBorders>
              <w:top w:val="single" w:sz="8" w:space="0" w:color="auto"/>
              <w:left w:val="nil"/>
              <w:bottom w:val="single" w:sz="8" w:space="0" w:color="auto"/>
              <w:right w:val="single" w:sz="8" w:space="0" w:color="auto"/>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Ruby Cruz, Executive Assistant to EVPAS</w:t>
            </w:r>
            <w:r w:rsidRPr="00162503">
              <w:rPr>
                <w:rFonts w:ascii="Calibri" w:eastAsia="Times New Roman" w:hAnsi="Calibri" w:cs="Calibri"/>
                <w:color w:val="000000"/>
                <w:sz w:val="20"/>
                <w:szCs w:val="20"/>
              </w:rPr>
              <w:br/>
            </w:r>
            <w:r w:rsidRPr="00162503">
              <w:rPr>
                <w:rFonts w:ascii="Calibri" w:eastAsia="Times New Roman" w:hAnsi="Calibri" w:cs="Calibri"/>
                <w:color w:val="000000"/>
                <w:sz w:val="20"/>
                <w:szCs w:val="20"/>
              </w:rPr>
              <w:br/>
              <w:t>Department Chair</w:t>
            </w:r>
          </w:p>
        </w:tc>
      </w:tr>
      <w:tr w:rsidR="00B166FB" w:rsidRPr="00162503" w:rsidTr="00646E03">
        <w:trPr>
          <w:trHeight w:val="592"/>
        </w:trPr>
        <w:tc>
          <w:tcPr>
            <w:tcW w:w="630" w:type="dxa"/>
            <w:vMerge w:val="restart"/>
            <w:tcBorders>
              <w:top w:val="single" w:sz="8" w:space="0" w:color="auto"/>
              <w:left w:val="single" w:sz="8" w:space="0" w:color="auto"/>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10</w:t>
            </w:r>
          </w:p>
        </w:tc>
        <w:tc>
          <w:tcPr>
            <w:tcW w:w="1800" w:type="dxa"/>
            <w:vMerge w:val="restart"/>
            <w:tcBorders>
              <w:top w:val="single" w:sz="8" w:space="0" w:color="auto"/>
              <w:left w:val="single" w:sz="8" w:space="0" w:color="000000"/>
              <w:bottom w:val="single" w:sz="8" w:space="0" w:color="000000"/>
              <w:right w:val="single" w:sz="8" w:space="0" w:color="000000"/>
            </w:tcBorders>
            <w:shd w:val="clear" w:color="auto" w:fill="auto"/>
          </w:tcPr>
          <w:p w:rsidR="00B166FB"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June 1 to August 31, 2011</w:t>
            </w:r>
          </w:p>
          <w:p w:rsidR="00162503" w:rsidRPr="00162503" w:rsidRDefault="00162503" w:rsidP="00646E03">
            <w:pPr>
              <w:spacing w:after="0" w:line="240" w:lineRule="auto"/>
              <w:jc w:val="center"/>
              <w:rPr>
                <w:rFonts w:ascii="Calibri" w:eastAsia="Times New Roman" w:hAnsi="Calibri" w:cs="Calibri"/>
                <w:color w:val="000000"/>
                <w:sz w:val="20"/>
                <w:szCs w:val="20"/>
              </w:rPr>
            </w:pPr>
          </w:p>
        </w:tc>
        <w:tc>
          <w:tcPr>
            <w:tcW w:w="6660" w:type="dxa"/>
            <w:tcBorders>
              <w:top w:val="nil"/>
              <w:left w:val="nil"/>
              <w:bottom w:val="single" w:sz="8" w:space="0" w:color="000000"/>
              <w:right w:val="single" w:sz="8" w:space="0" w:color="000000"/>
            </w:tcBorders>
            <w:shd w:val="clear" w:color="auto" w:fill="auto"/>
          </w:tcPr>
          <w:p w:rsidR="00B166FB" w:rsidRPr="00162503" w:rsidRDefault="00B166FB" w:rsidP="007950D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lastRenderedPageBreak/>
              <w:t>E</w:t>
            </w:r>
            <w:r w:rsidR="001F4927" w:rsidRPr="00162503">
              <w:rPr>
                <w:rFonts w:ascii="Calibri" w:eastAsia="Times New Roman" w:hAnsi="Calibri" w:cs="Calibri"/>
                <w:color w:val="000000"/>
                <w:sz w:val="20"/>
                <w:szCs w:val="20"/>
              </w:rPr>
              <w:t xml:space="preserve">xecutive </w:t>
            </w:r>
            <w:r w:rsidRPr="00162503">
              <w:rPr>
                <w:rFonts w:ascii="Calibri" w:eastAsia="Times New Roman" w:hAnsi="Calibri" w:cs="Calibri"/>
                <w:color w:val="000000"/>
                <w:sz w:val="20"/>
                <w:szCs w:val="20"/>
              </w:rPr>
              <w:t>A</w:t>
            </w:r>
            <w:r w:rsidR="001F4927" w:rsidRPr="00162503">
              <w:rPr>
                <w:rFonts w:ascii="Calibri" w:eastAsia="Times New Roman" w:hAnsi="Calibri" w:cs="Calibri"/>
                <w:color w:val="000000"/>
                <w:sz w:val="20"/>
                <w:szCs w:val="20"/>
              </w:rPr>
              <w:t>ssistant</w:t>
            </w:r>
            <w:r w:rsidRPr="00162503">
              <w:rPr>
                <w:rFonts w:ascii="Calibri" w:eastAsia="Times New Roman" w:hAnsi="Calibri" w:cs="Calibri"/>
                <w:color w:val="000000"/>
                <w:sz w:val="20"/>
                <w:szCs w:val="20"/>
              </w:rPr>
              <w:t xml:space="preserve"> forwards referee letters as they arrive to the chair</w:t>
            </w:r>
            <w:r w:rsidR="007950DC" w:rsidRPr="00162503">
              <w:rPr>
                <w:rFonts w:ascii="Calibri" w:eastAsia="Times New Roman" w:hAnsi="Calibri" w:cs="Calibri"/>
                <w:color w:val="000000"/>
                <w:sz w:val="20"/>
                <w:szCs w:val="20"/>
              </w:rPr>
              <w:t>.</w:t>
            </w:r>
          </w:p>
          <w:p w:rsidR="00CC777C" w:rsidRPr="00162503" w:rsidRDefault="00CC777C" w:rsidP="007950DC">
            <w:pPr>
              <w:spacing w:after="0" w:line="240" w:lineRule="auto"/>
              <w:rPr>
                <w:rFonts w:ascii="Calibri" w:eastAsia="Times New Roman" w:hAnsi="Calibri" w:cs="Calibri"/>
                <w:color w:val="000000"/>
                <w:sz w:val="20"/>
                <w:szCs w:val="20"/>
              </w:rPr>
            </w:pPr>
          </w:p>
        </w:tc>
        <w:tc>
          <w:tcPr>
            <w:tcW w:w="1980" w:type="dxa"/>
            <w:tcBorders>
              <w:top w:val="nil"/>
              <w:left w:val="nil"/>
              <w:bottom w:val="single" w:sz="8" w:space="0" w:color="000000"/>
              <w:right w:val="single" w:sz="8" w:space="0" w:color="auto"/>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Ruby Cruz</w:t>
            </w:r>
          </w:p>
        </w:tc>
      </w:tr>
      <w:tr w:rsidR="00B166FB" w:rsidRPr="00162503" w:rsidTr="00646E03">
        <w:trPr>
          <w:trHeight w:val="510"/>
        </w:trPr>
        <w:tc>
          <w:tcPr>
            <w:tcW w:w="630" w:type="dxa"/>
            <w:vMerge/>
            <w:tcBorders>
              <w:top w:val="single" w:sz="8" w:space="0" w:color="000000"/>
              <w:left w:val="single" w:sz="8" w:space="0" w:color="auto"/>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single" w:sz="8" w:space="0" w:color="000000"/>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Chair designee mails/emails publication sets to those referees who request them.</w:t>
            </w:r>
          </w:p>
        </w:tc>
        <w:tc>
          <w:tcPr>
            <w:tcW w:w="1980" w:type="dxa"/>
            <w:tcBorders>
              <w:top w:val="single" w:sz="8" w:space="0" w:color="000000"/>
              <w:left w:val="nil"/>
              <w:bottom w:val="nil"/>
              <w:right w:val="single" w:sz="8" w:space="0" w:color="auto"/>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 and designee</w:t>
            </w:r>
          </w:p>
        </w:tc>
      </w:tr>
      <w:tr w:rsidR="00B166FB" w:rsidRPr="00162503" w:rsidTr="00162503">
        <w:trPr>
          <w:trHeight w:val="525"/>
        </w:trPr>
        <w:tc>
          <w:tcPr>
            <w:tcW w:w="630" w:type="dxa"/>
            <w:vMerge/>
            <w:tcBorders>
              <w:top w:val="single" w:sz="8" w:space="0" w:color="000000"/>
              <w:left w:val="single" w:sz="8" w:space="0" w:color="auto"/>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tcBorders>
              <w:top w:val="nil"/>
              <w:left w:val="nil"/>
              <w:bottom w:val="single" w:sz="8" w:space="0" w:color="auto"/>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E</w:t>
            </w:r>
            <w:r w:rsidR="001F4927" w:rsidRPr="00162503">
              <w:rPr>
                <w:rFonts w:ascii="Calibri" w:eastAsia="Times New Roman" w:hAnsi="Calibri" w:cs="Calibri"/>
                <w:color w:val="000000"/>
                <w:sz w:val="20"/>
                <w:szCs w:val="20"/>
              </w:rPr>
              <w:t xml:space="preserve">xecutive </w:t>
            </w:r>
            <w:r w:rsidRPr="00162503">
              <w:rPr>
                <w:rFonts w:ascii="Calibri" w:eastAsia="Times New Roman" w:hAnsi="Calibri" w:cs="Calibri"/>
                <w:color w:val="000000"/>
                <w:sz w:val="20"/>
                <w:szCs w:val="20"/>
              </w:rPr>
              <w:t>A</w:t>
            </w:r>
            <w:r w:rsidR="001F4927" w:rsidRPr="00162503">
              <w:rPr>
                <w:rFonts w:ascii="Calibri" w:eastAsia="Times New Roman" w:hAnsi="Calibri" w:cs="Calibri"/>
                <w:color w:val="000000"/>
                <w:sz w:val="20"/>
                <w:szCs w:val="20"/>
              </w:rPr>
              <w:t>ssistant</w:t>
            </w:r>
            <w:r w:rsidRPr="00162503">
              <w:rPr>
                <w:rFonts w:ascii="Calibri" w:eastAsia="Times New Roman" w:hAnsi="Calibri" w:cs="Calibri"/>
                <w:color w:val="000000"/>
                <w:sz w:val="20"/>
                <w:szCs w:val="20"/>
              </w:rPr>
              <w:t xml:space="preserve"> sends follow-up emails after an appropriate period of time to those referees who have not responded to the initial request.</w:t>
            </w:r>
          </w:p>
        </w:tc>
        <w:tc>
          <w:tcPr>
            <w:tcW w:w="1980" w:type="dxa"/>
            <w:tcBorders>
              <w:top w:val="nil"/>
              <w:left w:val="nil"/>
              <w:bottom w:val="single" w:sz="8" w:space="0" w:color="auto"/>
              <w:right w:val="single" w:sz="8" w:space="0" w:color="auto"/>
            </w:tcBorders>
            <w:shd w:val="clear" w:color="auto" w:fill="auto"/>
            <w:vAlign w:val="center"/>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Michael Susi</w:t>
            </w:r>
          </w:p>
        </w:tc>
      </w:tr>
      <w:tr w:rsidR="005567DF" w:rsidRPr="00162503" w:rsidTr="00162503">
        <w:trPr>
          <w:trHeight w:val="880"/>
        </w:trPr>
        <w:tc>
          <w:tcPr>
            <w:tcW w:w="630" w:type="dxa"/>
            <w:tcBorders>
              <w:top w:val="single" w:sz="8" w:space="0" w:color="000000"/>
              <w:left w:val="single" w:sz="8" w:space="0" w:color="000000"/>
              <w:bottom w:val="nil"/>
              <w:right w:val="single" w:sz="8" w:space="0" w:color="000000"/>
            </w:tcBorders>
            <w:shd w:val="clear" w:color="auto" w:fill="auto"/>
          </w:tcPr>
          <w:p w:rsidR="005567DF" w:rsidRPr="00162503" w:rsidRDefault="005567DF"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11</w:t>
            </w:r>
          </w:p>
        </w:tc>
        <w:tc>
          <w:tcPr>
            <w:tcW w:w="1800" w:type="dxa"/>
            <w:tcBorders>
              <w:top w:val="single" w:sz="8" w:space="0" w:color="000000"/>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September 10 to October 1, 2012</w:t>
            </w:r>
          </w:p>
        </w:tc>
        <w:tc>
          <w:tcPr>
            <w:tcW w:w="6660" w:type="dxa"/>
            <w:vMerge w:val="restart"/>
            <w:tcBorders>
              <w:top w:val="nil"/>
              <w:left w:val="nil"/>
              <w:right w:val="single" w:sz="8" w:space="0" w:color="000000"/>
            </w:tcBorders>
            <w:shd w:val="clear" w:color="auto" w:fill="auto"/>
          </w:tcPr>
          <w:p w:rsidR="005567DF" w:rsidRPr="00162503" w:rsidRDefault="005567DF" w:rsidP="007950D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The department conducts a review according to its procedures.</w:t>
            </w:r>
          </w:p>
          <w:p w:rsidR="005567DF" w:rsidRPr="00162503" w:rsidRDefault="005567DF" w:rsidP="007950DC">
            <w:pPr>
              <w:spacing w:after="0" w:line="240" w:lineRule="auto"/>
              <w:rPr>
                <w:rFonts w:ascii="Calibri" w:eastAsia="Times New Roman" w:hAnsi="Calibri" w:cs="Calibri"/>
                <w:color w:val="000000"/>
                <w:sz w:val="20"/>
                <w:szCs w:val="20"/>
              </w:rPr>
            </w:pPr>
          </w:p>
          <w:p w:rsidR="005567DF" w:rsidRPr="00162503" w:rsidRDefault="005567DF" w:rsidP="007950D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Chair forwards the materials used by the department in its deliberations to the chair of the parallel Barnard department. The letter of transmittal should request a written letter of assessment from the Barnard department, including a record of the vote taken. The chair of the Barnard department prepares a statement of its assessment of the candidate's qualifications that transmits the vote of the department.</w:t>
            </w: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5567DF" w:rsidRPr="00162503" w:rsidTr="00162503">
        <w:trPr>
          <w:trHeight w:val="1062"/>
        </w:trPr>
        <w:tc>
          <w:tcPr>
            <w:tcW w:w="630" w:type="dxa"/>
            <w:tcBorders>
              <w:top w:val="nil"/>
              <w:left w:val="single" w:sz="8" w:space="0" w:color="000000"/>
              <w:bottom w:val="single" w:sz="8" w:space="0" w:color="000000"/>
              <w:right w:val="single" w:sz="8" w:space="0" w:color="000000"/>
            </w:tcBorders>
            <w:shd w:val="clear" w:color="auto" w:fill="auto"/>
          </w:tcPr>
          <w:p w:rsidR="005567DF" w:rsidRPr="00162503" w:rsidRDefault="005567DF"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 </w:t>
            </w:r>
          </w:p>
        </w:tc>
        <w:tc>
          <w:tcPr>
            <w:tcW w:w="1800" w:type="dxa"/>
            <w:tcBorders>
              <w:top w:val="nil"/>
              <w:left w:val="single" w:sz="8" w:space="0" w:color="000000"/>
              <w:bottom w:val="single" w:sz="8" w:space="0" w:color="000000"/>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tcBorders>
              <w:left w:val="single" w:sz="8" w:space="0" w:color="000000"/>
              <w:bottom w:val="single" w:sz="8" w:space="0" w:color="000000"/>
              <w:right w:val="single" w:sz="8" w:space="0" w:color="000000"/>
            </w:tcBorders>
            <w:shd w:val="clear" w:color="auto" w:fill="auto"/>
          </w:tcPr>
          <w:p w:rsidR="005567DF" w:rsidRPr="00162503" w:rsidRDefault="005567DF" w:rsidP="007950DC">
            <w:pPr>
              <w:spacing w:after="0" w:line="240" w:lineRule="auto"/>
              <w:rPr>
                <w:rFonts w:ascii="Calibri" w:eastAsia="Times New Roman" w:hAnsi="Calibri" w:cs="Calibri"/>
                <w:color w:val="000000"/>
                <w:sz w:val="20"/>
                <w:szCs w:val="20"/>
              </w:rPr>
            </w:pPr>
          </w:p>
        </w:tc>
        <w:tc>
          <w:tcPr>
            <w:tcW w:w="1980" w:type="dxa"/>
            <w:tcBorders>
              <w:top w:val="nil"/>
              <w:left w:val="nil"/>
              <w:bottom w:val="single" w:sz="8" w:space="0" w:color="000000"/>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p>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Barnard Department Chai</w:t>
            </w:r>
            <w:r w:rsidRPr="00162503">
              <w:rPr>
                <w:rFonts w:ascii="Calibri" w:eastAsia="Times New Roman" w:hAnsi="Calibri" w:cs="Calibri"/>
                <w:b/>
                <w:color w:val="000000"/>
                <w:sz w:val="20"/>
                <w:szCs w:val="20"/>
              </w:rPr>
              <w:t>r</w:t>
            </w:r>
          </w:p>
        </w:tc>
      </w:tr>
      <w:tr w:rsidR="00B166FB" w:rsidRPr="00162503" w:rsidTr="00162503">
        <w:trPr>
          <w:trHeight w:val="765"/>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12</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September 15 to November 15, 2012</w:t>
            </w:r>
          </w:p>
        </w:tc>
        <w:tc>
          <w:tcPr>
            <w:tcW w:w="6660" w:type="dxa"/>
            <w:tcBorders>
              <w:top w:val="single" w:sz="8" w:space="0" w:color="000000"/>
              <w:left w:val="nil"/>
              <w:bottom w:val="nil"/>
              <w:right w:val="single" w:sz="8" w:space="0" w:color="000000"/>
            </w:tcBorders>
            <w:shd w:val="clear" w:color="auto" w:fill="auto"/>
          </w:tcPr>
          <w:p w:rsidR="00B166FB" w:rsidRPr="00162503" w:rsidRDefault="00B166FB" w:rsidP="000F1B17">
            <w:pPr>
              <w:spacing w:after="0" w:line="240" w:lineRule="auto"/>
              <w:rPr>
                <w:rFonts w:eastAsia="Times New Roman" w:cstheme="minorHAnsi"/>
                <w:color w:val="000000"/>
                <w:sz w:val="20"/>
                <w:szCs w:val="20"/>
              </w:rPr>
            </w:pPr>
            <w:r w:rsidRPr="00162503">
              <w:rPr>
                <w:rFonts w:eastAsia="Times New Roman" w:cstheme="minorHAnsi"/>
                <w:color w:val="000000"/>
                <w:sz w:val="20"/>
                <w:szCs w:val="20"/>
              </w:rPr>
              <w:t>Department chair prepares the case statement according to the specifications in Part I of the attached document.</w:t>
            </w:r>
          </w:p>
        </w:tc>
        <w:tc>
          <w:tcPr>
            <w:tcW w:w="1980" w:type="dxa"/>
            <w:tcBorders>
              <w:top w:val="single" w:sz="8" w:space="0" w:color="000000"/>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CC777C" w:rsidRPr="00162503" w:rsidTr="00162503">
        <w:trPr>
          <w:trHeight w:val="763"/>
        </w:trPr>
        <w:tc>
          <w:tcPr>
            <w:tcW w:w="630" w:type="dxa"/>
            <w:vMerge/>
            <w:tcBorders>
              <w:top w:val="nil"/>
              <w:left w:val="single" w:sz="8" w:space="0" w:color="000000"/>
              <w:bottom w:val="single" w:sz="8" w:space="0" w:color="000000"/>
              <w:right w:val="single" w:sz="8" w:space="0" w:color="000000"/>
            </w:tcBorders>
            <w:vAlign w:val="center"/>
          </w:tcPr>
          <w:p w:rsidR="00CC777C" w:rsidRPr="00162503" w:rsidRDefault="00CC777C"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CC777C" w:rsidRPr="00162503" w:rsidRDefault="00CC777C" w:rsidP="00B166FB">
            <w:pPr>
              <w:spacing w:after="0" w:line="240" w:lineRule="auto"/>
              <w:rPr>
                <w:rFonts w:ascii="Calibri" w:eastAsia="Times New Roman" w:hAnsi="Calibri" w:cs="Calibri"/>
                <w:color w:val="000000"/>
                <w:sz w:val="20"/>
                <w:szCs w:val="20"/>
              </w:rPr>
            </w:pPr>
          </w:p>
        </w:tc>
        <w:tc>
          <w:tcPr>
            <w:tcW w:w="6660" w:type="dxa"/>
            <w:tcBorders>
              <w:top w:val="nil"/>
              <w:left w:val="nil"/>
              <w:bottom w:val="single" w:sz="8" w:space="0" w:color="000000"/>
              <w:right w:val="single" w:sz="8" w:space="0" w:color="000000"/>
            </w:tcBorders>
            <w:shd w:val="clear" w:color="auto" w:fill="auto"/>
          </w:tcPr>
          <w:p w:rsidR="00CC777C" w:rsidRPr="00162503" w:rsidRDefault="00CC777C" w:rsidP="00B166FB">
            <w:pPr>
              <w:spacing w:after="0" w:line="240" w:lineRule="auto"/>
              <w:rPr>
                <w:rFonts w:eastAsia="Times New Roman" w:cstheme="minorHAnsi"/>
                <w:color w:val="0000FF"/>
                <w:sz w:val="20"/>
                <w:szCs w:val="20"/>
                <w:u w:val="single"/>
              </w:rPr>
            </w:pPr>
            <w:r w:rsidRPr="00162503">
              <w:rPr>
                <w:rFonts w:ascii="Calibri" w:eastAsia="Times New Roman" w:hAnsi="Calibri" w:cs="Calibri"/>
                <w:color w:val="000000"/>
                <w:sz w:val="20"/>
                <w:szCs w:val="20"/>
              </w:rPr>
              <w:t>Department chair forwards the department vote and case statement, in a WORD document via email, to the Associate Vice President for Academic Affairs.</w:t>
            </w:r>
          </w:p>
        </w:tc>
        <w:tc>
          <w:tcPr>
            <w:tcW w:w="1980" w:type="dxa"/>
            <w:tcBorders>
              <w:top w:val="nil"/>
              <w:left w:val="nil"/>
              <w:bottom w:val="single" w:sz="8" w:space="0" w:color="000000"/>
              <w:right w:val="single" w:sz="8" w:space="0" w:color="000000"/>
            </w:tcBorders>
            <w:shd w:val="clear" w:color="auto" w:fill="auto"/>
          </w:tcPr>
          <w:p w:rsidR="00CC777C" w:rsidRPr="00162503" w:rsidRDefault="00CC777C"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p w:rsidR="00CC777C" w:rsidRPr="00162503" w:rsidRDefault="00CC777C"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Margaret Edsall</w:t>
            </w:r>
          </w:p>
        </w:tc>
      </w:tr>
      <w:tr w:rsidR="00B166FB" w:rsidRPr="00162503" w:rsidTr="00162503">
        <w:trPr>
          <w:trHeight w:val="1150"/>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13</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October 3 to November 15, 2012</w:t>
            </w:r>
          </w:p>
        </w:tc>
        <w:tc>
          <w:tcPr>
            <w:tcW w:w="6660" w:type="dxa"/>
            <w:tcBorders>
              <w:top w:val="single" w:sz="8" w:space="0" w:color="000000"/>
              <w:left w:val="nil"/>
              <w:right w:val="single" w:sz="8" w:space="0" w:color="000000"/>
            </w:tcBorders>
            <w:shd w:val="clear" w:color="auto" w:fill="auto"/>
          </w:tcPr>
          <w:p w:rsidR="005567DF" w:rsidRPr="00162503" w:rsidRDefault="00B166FB" w:rsidP="002F4C78">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Once the Associate Vice President indicates that the case statement has been vetted</w:t>
            </w:r>
            <w:r w:rsidR="007950DC" w:rsidRPr="00162503">
              <w:rPr>
                <w:rFonts w:ascii="Calibri" w:eastAsia="Times New Roman" w:hAnsi="Calibri" w:cs="Calibri"/>
                <w:color w:val="000000"/>
                <w:sz w:val="20"/>
                <w:szCs w:val="20"/>
              </w:rPr>
              <w:t xml:space="preserve"> by the divisional dean</w:t>
            </w:r>
            <w:r w:rsidRPr="00162503">
              <w:rPr>
                <w:rFonts w:ascii="Calibri" w:eastAsia="Times New Roman" w:hAnsi="Calibri" w:cs="Calibri"/>
                <w:color w:val="000000"/>
                <w:sz w:val="20"/>
                <w:szCs w:val="20"/>
              </w:rPr>
              <w:t xml:space="preserve">, the </w:t>
            </w:r>
            <w:r w:rsidR="007950DC" w:rsidRPr="00162503">
              <w:rPr>
                <w:rFonts w:ascii="Calibri" w:eastAsia="Times New Roman" w:hAnsi="Calibri" w:cs="Calibri"/>
                <w:color w:val="000000"/>
                <w:sz w:val="20"/>
                <w:szCs w:val="20"/>
              </w:rPr>
              <w:t xml:space="preserve">supporting </w:t>
            </w:r>
            <w:r w:rsidRPr="00162503">
              <w:rPr>
                <w:rFonts w:ascii="Calibri" w:eastAsia="Times New Roman" w:hAnsi="Calibri" w:cs="Calibri"/>
                <w:color w:val="000000"/>
                <w:sz w:val="20"/>
                <w:szCs w:val="20"/>
              </w:rPr>
              <w:t xml:space="preserve">materials below should be submitted </w:t>
            </w:r>
            <w:r w:rsidR="0034654D" w:rsidRPr="00162503">
              <w:rPr>
                <w:rFonts w:ascii="Calibri" w:eastAsia="Times New Roman" w:hAnsi="Calibri" w:cs="Calibri"/>
                <w:color w:val="000000"/>
                <w:sz w:val="20"/>
                <w:szCs w:val="20"/>
              </w:rPr>
              <w:t xml:space="preserve">in electronically  </w:t>
            </w:r>
            <w:r w:rsidRPr="00162503">
              <w:rPr>
                <w:rFonts w:ascii="Calibri" w:eastAsia="Times New Roman" w:hAnsi="Calibri" w:cs="Calibri"/>
                <w:color w:val="000000"/>
                <w:sz w:val="20"/>
                <w:szCs w:val="20"/>
              </w:rPr>
              <w:t xml:space="preserve">on a CD-ROM or flash drive to the </w:t>
            </w:r>
            <w:r w:rsidR="002F4C78" w:rsidRPr="00162503">
              <w:rPr>
                <w:rFonts w:ascii="Calibri" w:eastAsia="Times New Roman" w:hAnsi="Calibri" w:cs="Calibri"/>
                <w:color w:val="000000"/>
                <w:sz w:val="20"/>
                <w:szCs w:val="20"/>
              </w:rPr>
              <w:t>Associate Director</w:t>
            </w:r>
            <w:r w:rsidRPr="00162503">
              <w:rPr>
                <w:rFonts w:ascii="Calibri" w:eastAsia="Times New Roman" w:hAnsi="Calibri" w:cs="Calibri"/>
                <w:color w:val="000000"/>
                <w:sz w:val="20"/>
                <w:szCs w:val="20"/>
              </w:rPr>
              <w:t xml:space="preserve"> (with the exception of published books which should be submitted at the same time but in hard copy.) </w:t>
            </w:r>
          </w:p>
        </w:tc>
        <w:tc>
          <w:tcPr>
            <w:tcW w:w="1980" w:type="dxa"/>
            <w:tcBorders>
              <w:top w:val="single" w:sz="8" w:space="0" w:color="000000"/>
              <w:left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Margaret Edsall</w:t>
            </w:r>
          </w:p>
          <w:p w:rsidR="00E55777" w:rsidRPr="00162503" w:rsidRDefault="00E55777" w:rsidP="00B166FB">
            <w:pPr>
              <w:spacing w:after="0" w:line="240" w:lineRule="auto"/>
              <w:rPr>
                <w:rFonts w:ascii="Calibri" w:eastAsia="Times New Roman" w:hAnsi="Calibri" w:cs="Calibri"/>
                <w:color w:val="000000"/>
                <w:sz w:val="20"/>
                <w:szCs w:val="20"/>
              </w:rPr>
            </w:pPr>
          </w:p>
          <w:p w:rsidR="00E55777" w:rsidRPr="00162503" w:rsidRDefault="00E55777"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Michael Susi</w:t>
            </w:r>
          </w:p>
        </w:tc>
      </w:tr>
      <w:tr w:rsidR="00CC777C" w:rsidRPr="00162503" w:rsidTr="00162503">
        <w:trPr>
          <w:trHeight w:val="88"/>
        </w:trPr>
        <w:tc>
          <w:tcPr>
            <w:tcW w:w="630" w:type="dxa"/>
            <w:vMerge/>
            <w:tcBorders>
              <w:top w:val="single" w:sz="8" w:space="0" w:color="000000"/>
              <w:left w:val="single" w:sz="8" w:space="0" w:color="000000"/>
              <w:bottom w:val="single" w:sz="8" w:space="0" w:color="000000"/>
              <w:right w:val="single" w:sz="8" w:space="0" w:color="000000"/>
            </w:tcBorders>
            <w:shd w:val="clear" w:color="auto" w:fill="auto"/>
          </w:tcPr>
          <w:p w:rsidR="00CC777C" w:rsidRPr="00162503" w:rsidRDefault="00CC777C" w:rsidP="00B166FB">
            <w:pPr>
              <w:spacing w:after="0" w:line="240" w:lineRule="auto"/>
              <w:jc w:val="center"/>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shd w:val="clear" w:color="auto" w:fill="auto"/>
          </w:tcPr>
          <w:p w:rsidR="00CC777C" w:rsidRPr="00162503" w:rsidRDefault="00CC777C" w:rsidP="00B166FB">
            <w:pPr>
              <w:spacing w:after="0" w:line="240" w:lineRule="auto"/>
              <w:rPr>
                <w:rFonts w:ascii="Calibri" w:eastAsia="Times New Roman" w:hAnsi="Calibri" w:cs="Calibri"/>
                <w:color w:val="000000"/>
                <w:sz w:val="20"/>
                <w:szCs w:val="20"/>
              </w:rPr>
            </w:pPr>
          </w:p>
        </w:tc>
        <w:tc>
          <w:tcPr>
            <w:tcW w:w="6660" w:type="dxa"/>
            <w:tcBorders>
              <w:left w:val="nil"/>
              <w:bottom w:val="nil"/>
              <w:right w:val="single" w:sz="8" w:space="0" w:color="000000"/>
            </w:tcBorders>
            <w:shd w:val="clear" w:color="auto" w:fill="auto"/>
          </w:tcPr>
          <w:p w:rsidR="00CC777C" w:rsidRPr="00162503" w:rsidRDefault="00CC777C" w:rsidP="00CC777C">
            <w:pPr>
              <w:spacing w:after="0" w:line="240" w:lineRule="auto"/>
              <w:rPr>
                <w:rFonts w:ascii="Calibri" w:eastAsia="Times New Roman" w:hAnsi="Calibri" w:cs="Calibri"/>
                <w:color w:val="000000"/>
                <w:sz w:val="20"/>
                <w:szCs w:val="20"/>
              </w:rPr>
            </w:pPr>
          </w:p>
        </w:tc>
        <w:tc>
          <w:tcPr>
            <w:tcW w:w="1980" w:type="dxa"/>
            <w:tcBorders>
              <w:left w:val="nil"/>
              <w:bottom w:val="nil"/>
              <w:right w:val="single" w:sz="8" w:space="0" w:color="000000"/>
            </w:tcBorders>
            <w:shd w:val="clear" w:color="auto" w:fill="auto"/>
          </w:tcPr>
          <w:p w:rsidR="00CC777C" w:rsidRPr="00162503" w:rsidRDefault="00CC777C" w:rsidP="00B166FB">
            <w:pPr>
              <w:spacing w:after="0" w:line="240" w:lineRule="auto"/>
              <w:rPr>
                <w:rFonts w:ascii="Calibri" w:eastAsia="Times New Roman" w:hAnsi="Calibri" w:cs="Calibri"/>
                <w:color w:val="000000"/>
                <w:sz w:val="20"/>
                <w:szCs w:val="20"/>
              </w:rPr>
            </w:pPr>
          </w:p>
        </w:tc>
      </w:tr>
      <w:tr w:rsidR="005567DF" w:rsidRPr="00162503" w:rsidTr="00162503">
        <w:trPr>
          <w:trHeight w:val="60"/>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val="restart"/>
            <w:tcBorders>
              <w:top w:val="nil"/>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 xml:space="preserve">candidate's updated </w:t>
            </w:r>
            <w:proofErr w:type="spellStart"/>
            <w:r w:rsidRPr="00162503">
              <w:rPr>
                <w:rFonts w:ascii="Calibri" w:eastAsia="Symbol" w:hAnsi="Calibri" w:cs="Calibri"/>
                <w:color w:val="000000"/>
                <w:sz w:val="20"/>
                <w:szCs w:val="20"/>
              </w:rPr>
              <w:t>cv</w:t>
            </w:r>
            <w:proofErr w:type="spellEnd"/>
            <w:r w:rsidRPr="00162503">
              <w:rPr>
                <w:rFonts w:ascii="Calibri" w:eastAsia="Symbol" w:hAnsi="Calibri" w:cs="Calibri"/>
                <w:color w:val="000000"/>
                <w:sz w:val="20"/>
                <w:szCs w:val="20"/>
              </w:rPr>
              <w:t xml:space="preserve"> (dated at top)</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vetted case statement</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updated statement of the nominee (teaching &amp; research)</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department review committee report</w:t>
            </w:r>
            <w:r w:rsidR="00472611" w:rsidRPr="00162503">
              <w:rPr>
                <w:rFonts w:ascii="Calibri" w:eastAsia="Symbol" w:hAnsi="Calibri" w:cs="Calibri"/>
                <w:color w:val="000000"/>
                <w:sz w:val="20"/>
                <w:szCs w:val="20"/>
              </w:rPr>
              <w:t>, if obtained</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assessment of Barnard counterpart department</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evidence of contributions to the educational purpose of the department</w:t>
            </w:r>
          </w:p>
          <w:p w:rsidR="002F4C78" w:rsidRPr="00162503" w:rsidRDefault="005567DF" w:rsidP="00162503">
            <w:pPr>
              <w:spacing w:after="0" w:line="240" w:lineRule="auto"/>
              <w:ind w:firstLineChars="100" w:firstLine="200"/>
              <w:rPr>
                <w:rFonts w:ascii="Calibri" w:eastAsia="Symbol" w:hAnsi="Calibri" w:cs="Calibri"/>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teaching qualifications, including evaluations</w:t>
            </w:r>
          </w:p>
          <w:p w:rsidR="00A54854" w:rsidRPr="00162503" w:rsidRDefault="00A54854" w:rsidP="00162503">
            <w:pPr>
              <w:spacing w:after="0" w:line="240" w:lineRule="auto"/>
              <w:ind w:firstLineChars="100" w:firstLine="200"/>
              <w:rPr>
                <w:rFonts w:ascii="Calibri" w:eastAsia="Symbol" w:hAnsi="Calibri" w:cs="Calibri"/>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 xml:space="preserve">list of </w:t>
            </w:r>
            <w:r w:rsidR="0069044E" w:rsidRPr="00162503">
              <w:rPr>
                <w:rFonts w:ascii="Calibri" w:eastAsia="Symbol" w:hAnsi="Calibri" w:cs="Calibri"/>
                <w:color w:val="000000"/>
                <w:sz w:val="20"/>
                <w:szCs w:val="20"/>
              </w:rPr>
              <w:t>articles, unpublished manuscripts and books included</w:t>
            </w:r>
          </w:p>
          <w:p w:rsidR="002F4C78" w:rsidRPr="00162503" w:rsidRDefault="005567DF" w:rsidP="00162503">
            <w:pPr>
              <w:spacing w:after="0" w:line="240" w:lineRule="auto"/>
              <w:ind w:firstLineChars="100" w:firstLine="200"/>
              <w:rPr>
                <w:rFonts w:ascii="Calibri" w:eastAsia="Symbol" w:hAnsi="Calibri" w:cs="Calibri"/>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articles and unpublished manuscripts</w:t>
            </w:r>
          </w:p>
          <w:p w:rsidR="00A54854" w:rsidRPr="00162503" w:rsidRDefault="002F4C78" w:rsidP="00162503">
            <w:pPr>
              <w:spacing w:after="0" w:line="240" w:lineRule="auto"/>
              <w:ind w:firstLineChars="100" w:firstLine="200"/>
              <w:rPr>
                <w:rFonts w:ascii="Calibri" w:eastAsia="Symbol" w:hAnsi="Calibri" w:cs="Calibri"/>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proofErr w:type="gramStart"/>
            <w:r w:rsidRPr="00162503">
              <w:rPr>
                <w:rFonts w:ascii="Calibri" w:eastAsia="Symbol" w:hAnsi="Calibri" w:cs="Calibri"/>
                <w:color w:val="000000"/>
                <w:sz w:val="20"/>
                <w:szCs w:val="20"/>
              </w:rPr>
              <w:t>additional</w:t>
            </w:r>
            <w:proofErr w:type="gramEnd"/>
            <w:r w:rsidRPr="00162503">
              <w:rPr>
                <w:rFonts w:ascii="Calibri" w:eastAsia="Symbol" w:hAnsi="Calibri" w:cs="Calibri"/>
                <w:color w:val="000000"/>
                <w:sz w:val="20"/>
                <w:szCs w:val="20"/>
              </w:rPr>
              <w:t xml:space="preserve"> materials (if any) – book reviews, prizes, teaching citations, etc.</w:t>
            </w:r>
          </w:p>
          <w:p w:rsidR="00A54854" w:rsidRPr="00162503" w:rsidRDefault="00A54854" w:rsidP="00162503">
            <w:pPr>
              <w:spacing w:after="0" w:line="240" w:lineRule="auto"/>
              <w:ind w:firstLineChars="100" w:firstLine="200"/>
              <w:rPr>
                <w:rFonts w:ascii="Calibri" w:eastAsia="Symbol" w:hAnsi="Calibri" w:cs="Calibri"/>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annotated list of referees and comparisons, if not already submitted</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002F4C78" w:rsidRPr="00162503">
              <w:rPr>
                <w:rFonts w:ascii="Calibri" w:eastAsia="Symbol" w:hAnsi="Calibri" w:cs="Calibri"/>
                <w:color w:val="000000"/>
                <w:sz w:val="20"/>
                <w:szCs w:val="20"/>
              </w:rPr>
              <w:t>list of witnesses to appear before the PTC</w:t>
            </w:r>
          </w:p>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r w:rsidRPr="00162503">
              <w:rPr>
                <w:rFonts w:ascii="Symbol" w:eastAsia="Symbol" w:hAnsi="Symbol" w:cs="Symbol"/>
                <w:color w:val="000000"/>
                <w:sz w:val="20"/>
                <w:szCs w:val="20"/>
              </w:rPr>
              <w:t></w:t>
            </w:r>
            <w:r w:rsidRPr="00162503">
              <w:rPr>
                <w:rFonts w:ascii="Times New Roman" w:eastAsia="Symbol" w:hAnsi="Times New Roman" w:cs="Times New Roman"/>
                <w:color w:val="000000"/>
                <w:sz w:val="20"/>
                <w:szCs w:val="20"/>
              </w:rPr>
              <w:t xml:space="preserve">   </w:t>
            </w:r>
            <w:r w:rsidRPr="00162503">
              <w:rPr>
                <w:rFonts w:ascii="Calibri" w:eastAsia="Symbol" w:hAnsi="Calibri" w:cs="Calibri"/>
                <w:color w:val="000000"/>
                <w:sz w:val="20"/>
                <w:szCs w:val="20"/>
              </w:rPr>
              <w:t>9 sets of books (hard copy), if any</w:t>
            </w: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p>
        </w:tc>
      </w:tr>
      <w:tr w:rsidR="005567DF" w:rsidRPr="00162503" w:rsidTr="00162503">
        <w:trPr>
          <w:trHeight w:val="20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5567DF" w:rsidRPr="00162503" w:rsidTr="00162503">
        <w:trPr>
          <w:trHeight w:val="277"/>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and designee</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Calibri" w:eastAsia="Times New Roman" w:hAnsi="Calibri" w:cs="Calibri"/>
                <w:color w:val="000000"/>
                <w:sz w:val="20"/>
                <w:szCs w:val="20"/>
              </w:rPr>
            </w:pP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510"/>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255"/>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nil"/>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5567DF" w:rsidRPr="00162503" w:rsidTr="00162503">
        <w:trPr>
          <w:trHeight w:val="60"/>
        </w:trPr>
        <w:tc>
          <w:tcPr>
            <w:tcW w:w="63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5567DF" w:rsidRPr="00162503" w:rsidRDefault="005567DF" w:rsidP="00B166FB">
            <w:pPr>
              <w:spacing w:after="0" w:line="240" w:lineRule="auto"/>
              <w:rPr>
                <w:rFonts w:ascii="Calibri" w:eastAsia="Times New Roman" w:hAnsi="Calibri" w:cs="Calibri"/>
                <w:color w:val="000000"/>
                <w:sz w:val="20"/>
                <w:szCs w:val="20"/>
              </w:rPr>
            </w:pPr>
          </w:p>
        </w:tc>
        <w:tc>
          <w:tcPr>
            <w:tcW w:w="6660" w:type="dxa"/>
            <w:vMerge/>
            <w:tcBorders>
              <w:left w:val="nil"/>
              <w:bottom w:val="single" w:sz="8" w:space="0" w:color="000000"/>
              <w:right w:val="single" w:sz="8" w:space="0" w:color="000000"/>
            </w:tcBorders>
            <w:shd w:val="clear" w:color="auto" w:fill="auto"/>
          </w:tcPr>
          <w:p w:rsidR="005567DF" w:rsidRPr="00162503" w:rsidRDefault="005567DF" w:rsidP="00162503">
            <w:pPr>
              <w:spacing w:after="0" w:line="240" w:lineRule="auto"/>
              <w:ind w:firstLineChars="100" w:firstLine="200"/>
              <w:rPr>
                <w:rFonts w:ascii="Symbol" w:eastAsia="Times New Roman" w:hAnsi="Symbol" w:cs="Times New Roman"/>
                <w:color w:val="000000"/>
                <w:sz w:val="20"/>
                <w:szCs w:val="20"/>
              </w:rPr>
            </w:pPr>
          </w:p>
        </w:tc>
        <w:tc>
          <w:tcPr>
            <w:tcW w:w="1980" w:type="dxa"/>
            <w:tcBorders>
              <w:top w:val="nil"/>
              <w:left w:val="nil"/>
              <w:bottom w:val="single" w:sz="8" w:space="0" w:color="000000"/>
              <w:right w:val="single" w:sz="8" w:space="0" w:color="000000"/>
            </w:tcBorders>
            <w:shd w:val="clear" w:color="auto" w:fill="auto"/>
          </w:tcPr>
          <w:p w:rsidR="005567DF" w:rsidRPr="00162503" w:rsidRDefault="005567DF" w:rsidP="00B166FB">
            <w:pPr>
              <w:spacing w:after="0" w:line="240" w:lineRule="auto"/>
              <w:rPr>
                <w:rFonts w:ascii="Times New Roman" w:eastAsia="Times New Roman" w:hAnsi="Times New Roman" w:cs="Times New Roman"/>
                <w:color w:val="000000"/>
                <w:sz w:val="20"/>
                <w:szCs w:val="20"/>
              </w:rPr>
            </w:pPr>
            <w:r w:rsidRPr="00162503">
              <w:rPr>
                <w:rFonts w:ascii="Times New Roman" w:eastAsia="Times New Roman" w:hAnsi="Times New Roman" w:cs="Times New Roman"/>
                <w:color w:val="000000"/>
                <w:sz w:val="20"/>
                <w:szCs w:val="20"/>
              </w:rPr>
              <w:t> </w:t>
            </w:r>
          </w:p>
        </w:tc>
      </w:tr>
      <w:tr w:rsidR="00B166FB" w:rsidRPr="00162503" w:rsidTr="00162503">
        <w:trPr>
          <w:trHeight w:val="1150"/>
        </w:trPr>
        <w:tc>
          <w:tcPr>
            <w:tcW w:w="630" w:type="dxa"/>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14</w:t>
            </w:r>
          </w:p>
        </w:tc>
        <w:tc>
          <w:tcPr>
            <w:tcW w:w="180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From November 4, 2012 to February 17, 2013</w:t>
            </w:r>
          </w:p>
        </w:tc>
        <w:tc>
          <w:tcPr>
            <w:tcW w:w="6660" w:type="dxa"/>
            <w:tcBorders>
              <w:top w:val="nil"/>
              <w:left w:val="nil"/>
              <w:bottom w:val="single" w:sz="8" w:space="0" w:color="000000"/>
              <w:right w:val="single" w:sz="8" w:space="0" w:color="000000"/>
            </w:tcBorders>
            <w:shd w:val="clear" w:color="auto" w:fill="auto"/>
          </w:tcPr>
          <w:p w:rsidR="00B166FB" w:rsidRPr="00162503" w:rsidRDefault="00B166FB" w:rsidP="00CC777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Promotion and Tenure Committee Review </w:t>
            </w:r>
            <w:r w:rsidR="00CC777C" w:rsidRPr="00162503">
              <w:rPr>
                <w:rFonts w:ascii="Calibri" w:eastAsia="Times New Roman" w:hAnsi="Calibri" w:cs="Calibri"/>
                <w:color w:val="000000"/>
                <w:sz w:val="20"/>
                <w:szCs w:val="20"/>
              </w:rPr>
              <w:t>–</w:t>
            </w:r>
            <w:r w:rsidRPr="00162503">
              <w:rPr>
                <w:rFonts w:ascii="Calibri" w:eastAsia="Times New Roman" w:hAnsi="Calibri" w:cs="Calibri"/>
                <w:color w:val="000000"/>
                <w:sz w:val="20"/>
                <w:szCs w:val="20"/>
              </w:rPr>
              <w:t xml:space="preserve"> </w:t>
            </w:r>
            <w:r w:rsidR="00CC777C" w:rsidRPr="00162503">
              <w:rPr>
                <w:rFonts w:ascii="Calibri" w:eastAsia="Times New Roman" w:hAnsi="Calibri" w:cs="Calibri"/>
                <w:color w:val="000000"/>
                <w:sz w:val="20"/>
                <w:szCs w:val="20"/>
              </w:rPr>
              <w:t>Dossier distributed</w:t>
            </w:r>
            <w:r w:rsidRPr="00162503">
              <w:rPr>
                <w:rFonts w:ascii="Calibri" w:eastAsia="Times New Roman" w:hAnsi="Calibri" w:cs="Calibri"/>
                <w:color w:val="000000"/>
                <w:sz w:val="20"/>
                <w:szCs w:val="20"/>
              </w:rPr>
              <w:t xml:space="preserve">; PTC review scheduled; Once the PTC has reviewed the candidate, the Executive Vice </w:t>
            </w:r>
            <w:r w:rsidR="00A35AA0" w:rsidRPr="00162503">
              <w:rPr>
                <w:rFonts w:ascii="Calibri" w:eastAsia="Times New Roman" w:hAnsi="Calibri" w:cs="Calibri"/>
                <w:color w:val="000000"/>
                <w:sz w:val="20"/>
                <w:szCs w:val="20"/>
              </w:rPr>
              <w:t>President</w:t>
            </w:r>
            <w:r w:rsidRPr="00162503">
              <w:rPr>
                <w:rFonts w:ascii="Calibri" w:eastAsia="Times New Roman" w:hAnsi="Calibri" w:cs="Calibri"/>
                <w:color w:val="000000"/>
                <w:sz w:val="20"/>
                <w:szCs w:val="20"/>
              </w:rPr>
              <w:t xml:space="preserve"> provides the Provost with a written account of the vote, and </w:t>
            </w:r>
            <w:r w:rsidR="00A35AA0" w:rsidRPr="00162503">
              <w:rPr>
                <w:rFonts w:ascii="Calibri" w:eastAsia="Times New Roman" w:hAnsi="Calibri" w:cs="Calibri"/>
                <w:color w:val="000000"/>
                <w:sz w:val="20"/>
                <w:szCs w:val="20"/>
              </w:rPr>
              <w:t xml:space="preserve">Executive Dean </w:t>
            </w:r>
            <w:r w:rsidRPr="00162503">
              <w:rPr>
                <w:rFonts w:ascii="Calibri" w:eastAsia="Times New Roman" w:hAnsi="Calibri" w:cs="Calibri"/>
                <w:color w:val="000000"/>
                <w:sz w:val="20"/>
                <w:szCs w:val="20"/>
              </w:rPr>
              <w:t xml:space="preserve">conveys outcome to department chair who informs the candidate.  </w:t>
            </w:r>
          </w:p>
        </w:tc>
        <w:tc>
          <w:tcPr>
            <w:tcW w:w="1980" w:type="dxa"/>
            <w:tcBorders>
              <w:top w:val="nil"/>
              <w:left w:val="nil"/>
              <w:bottom w:val="single" w:sz="8" w:space="0" w:color="000000"/>
              <w:right w:val="single" w:sz="8" w:space="0" w:color="000000"/>
            </w:tcBorders>
            <w:shd w:val="clear" w:color="auto" w:fill="auto"/>
          </w:tcPr>
          <w:p w:rsidR="00B166FB" w:rsidRPr="00162503" w:rsidRDefault="001F4927" w:rsidP="00E55777">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David Eisenberg</w:t>
            </w:r>
            <w:r w:rsidR="00B166FB" w:rsidRPr="00162503">
              <w:rPr>
                <w:rFonts w:ascii="Calibri" w:eastAsia="Times New Roman" w:hAnsi="Calibri" w:cs="Calibri"/>
                <w:color w:val="000000"/>
                <w:sz w:val="20"/>
                <w:szCs w:val="20"/>
              </w:rPr>
              <w:t xml:space="preserve">, </w:t>
            </w:r>
            <w:r w:rsidRPr="00162503">
              <w:rPr>
                <w:rFonts w:ascii="Calibri" w:eastAsia="Times New Roman" w:hAnsi="Calibri" w:cs="Calibri"/>
                <w:color w:val="000000"/>
                <w:sz w:val="20"/>
                <w:szCs w:val="20"/>
              </w:rPr>
              <w:t xml:space="preserve">Assistant Director </w:t>
            </w:r>
            <w:r w:rsidR="00E55777" w:rsidRPr="00162503">
              <w:rPr>
                <w:rFonts w:ascii="Calibri" w:eastAsia="Times New Roman" w:hAnsi="Calibri" w:cs="Calibri"/>
                <w:color w:val="000000"/>
                <w:sz w:val="20"/>
                <w:szCs w:val="20"/>
              </w:rPr>
              <w:t>of</w:t>
            </w:r>
            <w:r w:rsidR="00373149" w:rsidRPr="00162503">
              <w:rPr>
                <w:rFonts w:ascii="Calibri" w:eastAsia="Times New Roman" w:hAnsi="Calibri" w:cs="Calibri"/>
                <w:color w:val="000000"/>
                <w:sz w:val="20"/>
                <w:szCs w:val="20"/>
              </w:rPr>
              <w:t xml:space="preserve"> </w:t>
            </w:r>
            <w:r w:rsidR="00B166FB" w:rsidRPr="00162503">
              <w:rPr>
                <w:rFonts w:ascii="Calibri" w:eastAsia="Times New Roman" w:hAnsi="Calibri" w:cs="Calibri"/>
                <w:color w:val="000000"/>
                <w:sz w:val="20"/>
                <w:szCs w:val="20"/>
              </w:rPr>
              <w:t>Academic Affairs</w:t>
            </w:r>
            <w:r w:rsidR="00032345" w:rsidRPr="00162503">
              <w:rPr>
                <w:rFonts w:ascii="Calibri" w:eastAsia="Times New Roman" w:hAnsi="Calibri" w:cs="Calibri"/>
                <w:color w:val="000000"/>
                <w:sz w:val="20"/>
                <w:szCs w:val="20"/>
              </w:rPr>
              <w:t xml:space="preserve"> </w:t>
            </w:r>
          </w:p>
        </w:tc>
      </w:tr>
      <w:tr w:rsidR="00B166FB" w:rsidRPr="00162503" w:rsidTr="00162503">
        <w:trPr>
          <w:trHeight w:val="502"/>
        </w:trPr>
        <w:tc>
          <w:tcPr>
            <w:tcW w:w="630" w:type="dxa"/>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15</w:t>
            </w:r>
          </w:p>
        </w:tc>
        <w:tc>
          <w:tcPr>
            <w:tcW w:w="180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November 7, 2012 to February 20, 2013</w:t>
            </w:r>
          </w:p>
        </w:tc>
        <w:tc>
          <w:tcPr>
            <w:tcW w:w="666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Executive Vice President forwards recommendation for tenure with complete dossier to Provost.  </w:t>
            </w:r>
          </w:p>
        </w:tc>
        <w:tc>
          <w:tcPr>
            <w:tcW w:w="198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Ruby Cruz</w:t>
            </w:r>
          </w:p>
        </w:tc>
      </w:tr>
      <w:tr w:rsidR="00B166FB" w:rsidRPr="00162503" w:rsidTr="00162503">
        <w:trPr>
          <w:trHeight w:val="510"/>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16</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 </w:t>
            </w:r>
          </w:p>
        </w:tc>
        <w:tc>
          <w:tcPr>
            <w:tcW w:w="666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34654D" w:rsidP="0034654D">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Once</w:t>
            </w:r>
            <w:r w:rsidR="00B166FB" w:rsidRPr="00162503">
              <w:rPr>
                <w:rFonts w:ascii="Calibri" w:eastAsia="Times New Roman" w:hAnsi="Calibri" w:cs="Calibri"/>
                <w:color w:val="000000"/>
                <w:sz w:val="20"/>
                <w:szCs w:val="20"/>
              </w:rPr>
              <w:t xml:space="preserve"> dossier </w:t>
            </w:r>
            <w:r w:rsidRPr="00162503">
              <w:rPr>
                <w:rFonts w:ascii="Calibri" w:eastAsia="Times New Roman" w:hAnsi="Calibri" w:cs="Calibri"/>
                <w:color w:val="000000"/>
                <w:sz w:val="20"/>
                <w:szCs w:val="20"/>
              </w:rPr>
              <w:t xml:space="preserve">is deemed ready to distribute, </w:t>
            </w:r>
            <w:r w:rsidR="00B166FB" w:rsidRPr="00162503">
              <w:rPr>
                <w:rFonts w:ascii="Calibri" w:eastAsia="Times New Roman" w:hAnsi="Calibri" w:cs="Calibri"/>
                <w:color w:val="000000"/>
                <w:sz w:val="20"/>
                <w:szCs w:val="20"/>
              </w:rPr>
              <w:t xml:space="preserve">the case </w:t>
            </w:r>
            <w:r w:rsidRPr="00162503">
              <w:rPr>
                <w:rFonts w:ascii="Calibri" w:eastAsia="Times New Roman" w:hAnsi="Calibri" w:cs="Calibri"/>
                <w:color w:val="000000"/>
                <w:sz w:val="20"/>
                <w:szCs w:val="20"/>
              </w:rPr>
              <w:t xml:space="preserve">is forwarded </w:t>
            </w:r>
            <w:r w:rsidR="00B166FB" w:rsidRPr="00162503">
              <w:rPr>
                <w:rFonts w:ascii="Calibri" w:eastAsia="Times New Roman" w:hAnsi="Calibri" w:cs="Calibri"/>
                <w:color w:val="000000"/>
                <w:sz w:val="20"/>
                <w:szCs w:val="20"/>
              </w:rPr>
              <w:t>to the Tenure Review Advisory Committee for consideration.</w:t>
            </w:r>
          </w:p>
        </w:tc>
        <w:tc>
          <w:tcPr>
            <w:tcW w:w="1980" w:type="dxa"/>
            <w:tcBorders>
              <w:top w:val="nil"/>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Stephen Rittenberg, Vice Provost</w:t>
            </w:r>
          </w:p>
        </w:tc>
      </w:tr>
      <w:tr w:rsidR="00B166FB" w:rsidRPr="00162503" w:rsidTr="00162503">
        <w:trPr>
          <w:trHeight w:val="540"/>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Angel Flesher, Manager of Tenure Reviews</w:t>
            </w:r>
          </w:p>
        </w:tc>
      </w:tr>
      <w:tr w:rsidR="00B166FB" w:rsidRPr="00162503" w:rsidTr="00162503">
        <w:trPr>
          <w:trHeight w:val="269"/>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lastRenderedPageBreak/>
              <w:t>17</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 </w:t>
            </w:r>
          </w:p>
        </w:tc>
        <w:tc>
          <w:tcPr>
            <w:tcW w:w="66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Tenure Review Advisory Committee Review</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Stephen Rittenberg</w:t>
            </w:r>
          </w:p>
        </w:tc>
      </w:tr>
      <w:tr w:rsidR="00B166FB" w:rsidRPr="00162503" w:rsidTr="00162503">
        <w:trPr>
          <w:trHeight w:val="244"/>
        </w:trPr>
        <w:tc>
          <w:tcPr>
            <w:tcW w:w="63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666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single" w:sz="8" w:space="0" w:color="000000"/>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69"/>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18</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Provost confers with President on candidate's </w:t>
            </w:r>
            <w:proofErr w:type="spellStart"/>
            <w:r w:rsidRPr="00162503">
              <w:rPr>
                <w:rFonts w:ascii="Calibri" w:eastAsia="Times New Roman" w:hAnsi="Calibri" w:cs="Calibri"/>
                <w:color w:val="000000"/>
                <w:sz w:val="20"/>
                <w:szCs w:val="20"/>
              </w:rPr>
              <w:t>tenurability</w:t>
            </w:r>
            <w:proofErr w:type="spellEnd"/>
            <w:r w:rsidRPr="00162503">
              <w:rPr>
                <w:rFonts w:ascii="Calibri" w:eastAsia="Times New Roman" w:hAnsi="Calibri" w:cs="Calibri"/>
                <w:color w:val="000000"/>
                <w:sz w:val="20"/>
                <w:szCs w:val="20"/>
              </w:rPr>
              <w:t>.</w:t>
            </w:r>
          </w:p>
        </w:tc>
        <w:tc>
          <w:tcPr>
            <w:tcW w:w="198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Stephen Rittenberg</w:t>
            </w:r>
          </w:p>
        </w:tc>
      </w:tr>
      <w:tr w:rsidR="00B166FB" w:rsidRPr="00162503" w:rsidTr="00162503">
        <w:trPr>
          <w:trHeight w:val="244"/>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69"/>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19</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Provost notifies Executive Vice President and department chair of decision.</w:t>
            </w:r>
          </w:p>
        </w:tc>
        <w:tc>
          <w:tcPr>
            <w:tcW w:w="198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John </w:t>
            </w:r>
            <w:proofErr w:type="spellStart"/>
            <w:r w:rsidRPr="00162503">
              <w:rPr>
                <w:rFonts w:ascii="Calibri" w:eastAsia="Times New Roman" w:hAnsi="Calibri" w:cs="Calibri"/>
                <w:color w:val="000000"/>
                <w:sz w:val="20"/>
                <w:szCs w:val="20"/>
              </w:rPr>
              <w:t>Coatsworth</w:t>
            </w:r>
            <w:proofErr w:type="spellEnd"/>
            <w:r w:rsidRPr="00162503">
              <w:rPr>
                <w:rFonts w:ascii="Calibri" w:eastAsia="Times New Roman" w:hAnsi="Calibri" w:cs="Calibri"/>
                <w:color w:val="000000"/>
                <w:sz w:val="20"/>
                <w:szCs w:val="20"/>
              </w:rPr>
              <w:t>, Interim Provost</w:t>
            </w:r>
          </w:p>
        </w:tc>
      </w:tr>
      <w:tr w:rsidR="00B166FB" w:rsidRPr="00162503" w:rsidTr="00162503">
        <w:trPr>
          <w:trHeight w:val="270"/>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69"/>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20</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 notifies candidate.</w:t>
            </w:r>
          </w:p>
        </w:tc>
        <w:tc>
          <w:tcPr>
            <w:tcW w:w="198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Department Chair</w:t>
            </w:r>
          </w:p>
        </w:tc>
      </w:tr>
      <w:tr w:rsidR="00B166FB" w:rsidRPr="00162503" w:rsidTr="00162503">
        <w:trPr>
          <w:trHeight w:val="244"/>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69"/>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21</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Executive Vice President sends letter confirming result.</w:t>
            </w:r>
          </w:p>
        </w:tc>
        <w:tc>
          <w:tcPr>
            <w:tcW w:w="198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Ruby Cruz</w:t>
            </w:r>
          </w:p>
        </w:tc>
      </w:tr>
      <w:tr w:rsidR="00B166FB" w:rsidRPr="00162503" w:rsidTr="00162503">
        <w:trPr>
          <w:trHeight w:val="244"/>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69"/>
        </w:trPr>
        <w:tc>
          <w:tcPr>
            <w:tcW w:w="63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22</w:t>
            </w:r>
          </w:p>
        </w:tc>
        <w:tc>
          <w:tcPr>
            <w:tcW w:w="180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CC777C">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xml:space="preserve">Trustees authorize tenure of candidate; communication to department chair and </w:t>
            </w:r>
            <w:r w:rsidR="00CC777C" w:rsidRPr="00162503">
              <w:rPr>
                <w:rFonts w:ascii="Calibri" w:eastAsia="Times New Roman" w:hAnsi="Calibri" w:cs="Calibri"/>
                <w:color w:val="000000"/>
                <w:sz w:val="20"/>
                <w:szCs w:val="20"/>
              </w:rPr>
              <w:t>ADA</w:t>
            </w:r>
            <w:r w:rsidRPr="00162503">
              <w:rPr>
                <w:rFonts w:ascii="Calibri" w:eastAsia="Times New Roman" w:hAnsi="Calibri" w:cs="Calibri"/>
                <w:color w:val="000000"/>
                <w:sz w:val="20"/>
                <w:szCs w:val="20"/>
              </w:rPr>
              <w:t xml:space="preserve"> from Academic Affairs</w:t>
            </w:r>
          </w:p>
        </w:tc>
        <w:tc>
          <w:tcPr>
            <w:tcW w:w="1980" w:type="dxa"/>
            <w:vMerge w:val="restart"/>
            <w:tcBorders>
              <w:top w:val="nil"/>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Michael Susi</w:t>
            </w:r>
          </w:p>
        </w:tc>
      </w:tr>
      <w:tr w:rsidR="00B166FB" w:rsidRPr="00162503" w:rsidTr="00162503">
        <w:trPr>
          <w:trHeight w:val="270"/>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r>
      <w:tr w:rsidR="00B166FB" w:rsidRPr="00162503" w:rsidTr="00162503">
        <w:trPr>
          <w:trHeight w:val="255"/>
        </w:trPr>
        <w:tc>
          <w:tcPr>
            <w:tcW w:w="6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9F7766" w:rsidP="00B166FB">
            <w:pPr>
              <w:spacing w:after="0" w:line="240" w:lineRule="auto"/>
              <w:jc w:val="center"/>
              <w:rPr>
                <w:rFonts w:ascii="Calibri" w:eastAsia="Times New Roman" w:hAnsi="Calibri" w:cs="Calibri"/>
                <w:b/>
                <w:bCs/>
                <w:color w:val="000000"/>
                <w:sz w:val="20"/>
                <w:szCs w:val="20"/>
              </w:rPr>
            </w:pPr>
            <w:r w:rsidRPr="00162503">
              <w:rPr>
                <w:rFonts w:ascii="Calibri" w:eastAsia="Times New Roman" w:hAnsi="Calibri" w:cs="Calibri"/>
                <w:b/>
                <w:bCs/>
                <w:color w:val="000000"/>
                <w:sz w:val="20"/>
                <w:szCs w:val="20"/>
              </w:rPr>
              <w:t>23</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 </w:t>
            </w:r>
          </w:p>
        </w:tc>
        <w:tc>
          <w:tcPr>
            <w:tcW w:w="666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Secretary’s Office sends letter of Trustee action</w:t>
            </w:r>
          </w:p>
        </w:tc>
        <w:tc>
          <w:tcPr>
            <w:tcW w:w="1980" w:type="dxa"/>
            <w:tcBorders>
              <w:top w:val="single" w:sz="8" w:space="0" w:color="000000"/>
              <w:left w:val="nil"/>
              <w:bottom w:val="nil"/>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Pearl Spiro,</w:t>
            </w:r>
          </w:p>
        </w:tc>
      </w:tr>
      <w:tr w:rsidR="00B166FB" w:rsidRPr="00162503" w:rsidTr="00162503">
        <w:trPr>
          <w:trHeight w:val="780"/>
        </w:trPr>
        <w:tc>
          <w:tcPr>
            <w:tcW w:w="63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b/>
                <w:bCs/>
                <w:color w:val="000000"/>
                <w:sz w:val="20"/>
                <w:szCs w:val="20"/>
              </w:rPr>
            </w:pPr>
          </w:p>
        </w:tc>
        <w:tc>
          <w:tcPr>
            <w:tcW w:w="180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6660" w:type="dxa"/>
            <w:vMerge/>
            <w:tcBorders>
              <w:top w:val="nil"/>
              <w:left w:val="single" w:sz="8" w:space="0" w:color="000000"/>
              <w:bottom w:val="single" w:sz="8" w:space="0" w:color="000000"/>
              <w:right w:val="single" w:sz="8" w:space="0" w:color="000000"/>
            </w:tcBorders>
            <w:vAlign w:val="center"/>
          </w:tcPr>
          <w:p w:rsidR="00B166FB" w:rsidRPr="00162503" w:rsidRDefault="00B166FB" w:rsidP="00B166FB">
            <w:pPr>
              <w:spacing w:after="0" w:line="240" w:lineRule="auto"/>
              <w:rPr>
                <w:rFonts w:ascii="Calibri" w:eastAsia="Times New Roman" w:hAnsi="Calibri" w:cs="Calibri"/>
                <w:color w:val="000000"/>
                <w:sz w:val="20"/>
                <w:szCs w:val="20"/>
              </w:rPr>
            </w:pPr>
          </w:p>
        </w:tc>
        <w:tc>
          <w:tcPr>
            <w:tcW w:w="1980" w:type="dxa"/>
            <w:tcBorders>
              <w:top w:val="nil"/>
              <w:left w:val="nil"/>
              <w:bottom w:val="single" w:sz="8" w:space="0" w:color="000000"/>
              <w:right w:val="single" w:sz="8" w:space="0" w:color="000000"/>
            </w:tcBorders>
            <w:shd w:val="clear" w:color="auto" w:fill="auto"/>
          </w:tcPr>
          <w:p w:rsidR="00B166FB" w:rsidRPr="00162503" w:rsidRDefault="00B166FB" w:rsidP="00B166FB">
            <w:pPr>
              <w:spacing w:after="0" w:line="240" w:lineRule="auto"/>
              <w:rPr>
                <w:rFonts w:ascii="Calibri" w:eastAsia="Times New Roman" w:hAnsi="Calibri" w:cs="Calibri"/>
                <w:color w:val="000000"/>
                <w:sz w:val="20"/>
                <w:szCs w:val="20"/>
              </w:rPr>
            </w:pPr>
            <w:r w:rsidRPr="00162503">
              <w:rPr>
                <w:rFonts w:ascii="Calibri" w:eastAsia="Times New Roman" w:hAnsi="Calibri" w:cs="Calibri"/>
                <w:color w:val="000000"/>
                <w:sz w:val="20"/>
                <w:szCs w:val="20"/>
              </w:rPr>
              <w:t>Associate Provost, Academic Appointments</w:t>
            </w:r>
          </w:p>
        </w:tc>
      </w:tr>
    </w:tbl>
    <w:p w:rsidR="00C3017F" w:rsidRPr="00162503" w:rsidRDefault="00C3017F" w:rsidP="00A43E41">
      <w:pPr>
        <w:rPr>
          <w:b/>
          <w:sz w:val="20"/>
          <w:szCs w:val="20"/>
        </w:rPr>
      </w:pPr>
    </w:p>
    <w:p w:rsidR="006401EB" w:rsidRDefault="006401EB" w:rsidP="00A43E41">
      <w:pPr>
        <w:rPr>
          <w:b/>
          <w:sz w:val="24"/>
          <w:szCs w:val="24"/>
        </w:rPr>
      </w:pPr>
    </w:p>
    <w:p w:rsidR="00081416" w:rsidRDefault="00081416" w:rsidP="00A43E41">
      <w:pPr>
        <w:rPr>
          <w:b/>
          <w:sz w:val="24"/>
          <w:szCs w:val="24"/>
        </w:rPr>
      </w:pPr>
    </w:p>
    <w:sectPr w:rsidR="00081416" w:rsidSect="003407D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BF8" w:rsidRDefault="00B15BF8" w:rsidP="0072534E">
      <w:pPr>
        <w:spacing w:after="0" w:line="240" w:lineRule="auto"/>
      </w:pPr>
      <w:r>
        <w:separator/>
      </w:r>
    </w:p>
  </w:endnote>
  <w:endnote w:type="continuationSeparator" w:id="0">
    <w:p w:rsidR="00B15BF8" w:rsidRDefault="00B15BF8" w:rsidP="00725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466379"/>
      <w:docPartObj>
        <w:docPartGallery w:val="Page Numbers (Bottom of Page)"/>
        <w:docPartUnique/>
      </w:docPartObj>
    </w:sdtPr>
    <w:sdtContent>
      <w:p w:rsidR="00633B31" w:rsidRDefault="000726F6">
        <w:pPr>
          <w:pStyle w:val="Footer"/>
          <w:jc w:val="center"/>
        </w:pPr>
        <w:fldSimple w:instr=" PAGE   \* MERGEFORMAT ">
          <w:r w:rsidR="00B70F9F">
            <w:rPr>
              <w:noProof/>
            </w:rPr>
            <w:t>20</w:t>
          </w:r>
        </w:fldSimple>
      </w:p>
    </w:sdtContent>
  </w:sdt>
  <w:p w:rsidR="00633B31" w:rsidRDefault="00633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BF8" w:rsidRDefault="00B15BF8" w:rsidP="0072534E">
      <w:pPr>
        <w:spacing w:after="0" w:line="240" w:lineRule="auto"/>
      </w:pPr>
      <w:r>
        <w:separator/>
      </w:r>
    </w:p>
  </w:footnote>
  <w:footnote w:type="continuationSeparator" w:id="0">
    <w:p w:rsidR="00B15BF8" w:rsidRDefault="00B15BF8" w:rsidP="007253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4D7A"/>
    <w:multiLevelType w:val="hybridMultilevel"/>
    <w:tmpl w:val="2EC6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30FF6"/>
    <w:multiLevelType w:val="hybridMultilevel"/>
    <w:tmpl w:val="E5B862E2"/>
    <w:lvl w:ilvl="0" w:tplc="B9E069F0">
      <w:start w:val="1"/>
      <w:numFmt w:val="bullet"/>
      <w:lvlText w:val="□"/>
      <w:lvlJc w:val="left"/>
      <w:pPr>
        <w:ind w:left="720" w:hanging="360"/>
      </w:pPr>
      <w:rPr>
        <w:rFonts w:ascii="SimSun" w:eastAsia="SimSun" w:hAnsi="SimSun" w:hint="eastAsia"/>
      </w:rPr>
    </w:lvl>
    <w:lvl w:ilvl="1" w:tplc="B9E069F0">
      <w:start w:val="1"/>
      <w:numFmt w:val="bullet"/>
      <w:lvlText w:val="□"/>
      <w:lvlJc w:val="left"/>
      <w:pPr>
        <w:ind w:left="1440" w:hanging="360"/>
      </w:pPr>
      <w:rPr>
        <w:rFonts w:ascii="SimSun" w:eastAsia="SimSun" w:hAnsi="SimSu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AA2D0F"/>
    <w:multiLevelType w:val="hybridMultilevel"/>
    <w:tmpl w:val="B6A8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E05EF"/>
    <w:multiLevelType w:val="hybridMultilevel"/>
    <w:tmpl w:val="868C14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nsid w:val="1B46778E"/>
    <w:multiLevelType w:val="hybridMultilevel"/>
    <w:tmpl w:val="E3C8EF96"/>
    <w:lvl w:ilvl="0" w:tplc="DECA8D5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31CAD"/>
    <w:multiLevelType w:val="hybridMultilevel"/>
    <w:tmpl w:val="53C4DA3A"/>
    <w:lvl w:ilvl="0" w:tplc="A290E374">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915F3F"/>
    <w:multiLevelType w:val="hybridMultilevel"/>
    <w:tmpl w:val="5B682074"/>
    <w:lvl w:ilvl="0" w:tplc="7A7AF782">
      <w:start w:val="1"/>
      <w:numFmt w:val="decimal"/>
      <w:lvlText w:val="%1)"/>
      <w:lvlJc w:val="left"/>
      <w:pPr>
        <w:ind w:left="612" w:hanging="360"/>
      </w:pPr>
      <w:rPr>
        <w:rFonts w:hint="default"/>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257959CB"/>
    <w:multiLevelType w:val="hybridMultilevel"/>
    <w:tmpl w:val="2A1AB25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nsid w:val="39AD7117"/>
    <w:multiLevelType w:val="hybridMultilevel"/>
    <w:tmpl w:val="7BA4A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D1883"/>
    <w:multiLevelType w:val="hybridMultilevel"/>
    <w:tmpl w:val="3F16BE48"/>
    <w:lvl w:ilvl="0" w:tplc="B9E06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097D8B"/>
    <w:multiLevelType w:val="hybridMultilevel"/>
    <w:tmpl w:val="B12C9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75576B"/>
    <w:multiLevelType w:val="hybridMultilevel"/>
    <w:tmpl w:val="4128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E73F0"/>
    <w:multiLevelType w:val="hybridMultilevel"/>
    <w:tmpl w:val="1440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B2EC4"/>
    <w:multiLevelType w:val="hybridMultilevel"/>
    <w:tmpl w:val="3600F014"/>
    <w:lvl w:ilvl="0" w:tplc="CC184BB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05CAF"/>
    <w:multiLevelType w:val="hybridMultilevel"/>
    <w:tmpl w:val="DC0C3412"/>
    <w:lvl w:ilvl="0" w:tplc="9A9E10CC">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5F4F2C"/>
    <w:multiLevelType w:val="hybridMultilevel"/>
    <w:tmpl w:val="62DE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E4FEB"/>
    <w:multiLevelType w:val="hybridMultilevel"/>
    <w:tmpl w:val="74043DC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7">
    <w:nsid w:val="5CCB28B8"/>
    <w:multiLevelType w:val="hybridMultilevel"/>
    <w:tmpl w:val="9D2A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94CE4"/>
    <w:multiLevelType w:val="hybridMultilevel"/>
    <w:tmpl w:val="8C4CEAD8"/>
    <w:lvl w:ilvl="0" w:tplc="B9E069F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5D076C"/>
    <w:multiLevelType w:val="hybridMultilevel"/>
    <w:tmpl w:val="C1B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8B778B"/>
    <w:multiLevelType w:val="hybridMultilevel"/>
    <w:tmpl w:val="A89E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9D7D97"/>
    <w:multiLevelType w:val="hybridMultilevel"/>
    <w:tmpl w:val="ADE6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02798F"/>
    <w:multiLevelType w:val="hybridMultilevel"/>
    <w:tmpl w:val="059438A4"/>
    <w:lvl w:ilvl="0" w:tplc="98FCA14A">
      <w:start w:val="1"/>
      <w:numFmt w:val="upp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7E0DCE"/>
    <w:multiLevelType w:val="hybridMultilevel"/>
    <w:tmpl w:val="A9A21A18"/>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nsid w:val="7F0E1C80"/>
    <w:multiLevelType w:val="hybridMultilevel"/>
    <w:tmpl w:val="CAF4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20"/>
  </w:num>
  <w:num w:numId="5">
    <w:abstractNumId w:val="24"/>
  </w:num>
  <w:num w:numId="6">
    <w:abstractNumId w:val="19"/>
  </w:num>
  <w:num w:numId="7">
    <w:abstractNumId w:val="17"/>
  </w:num>
  <w:num w:numId="8">
    <w:abstractNumId w:val="0"/>
  </w:num>
  <w:num w:numId="9">
    <w:abstractNumId w:val="9"/>
  </w:num>
  <w:num w:numId="10">
    <w:abstractNumId w:val="11"/>
  </w:num>
  <w:num w:numId="11">
    <w:abstractNumId w:val="18"/>
  </w:num>
  <w:num w:numId="12">
    <w:abstractNumId w:val="22"/>
  </w:num>
  <w:num w:numId="13">
    <w:abstractNumId w:val="1"/>
  </w:num>
  <w:num w:numId="14">
    <w:abstractNumId w:val="15"/>
  </w:num>
  <w:num w:numId="15">
    <w:abstractNumId w:val="5"/>
  </w:num>
  <w:num w:numId="16">
    <w:abstractNumId w:val="14"/>
  </w:num>
  <w:num w:numId="17">
    <w:abstractNumId w:val="8"/>
  </w:num>
  <w:num w:numId="18">
    <w:abstractNumId w:val="10"/>
  </w:num>
  <w:num w:numId="19">
    <w:abstractNumId w:val="6"/>
  </w:num>
  <w:num w:numId="20">
    <w:abstractNumId w:val="2"/>
  </w:num>
  <w:num w:numId="21">
    <w:abstractNumId w:val="16"/>
  </w:num>
  <w:num w:numId="22">
    <w:abstractNumId w:val="23"/>
  </w:num>
  <w:num w:numId="23">
    <w:abstractNumId w:val="3"/>
  </w:num>
  <w:num w:numId="24">
    <w:abstractNumId w:val="21"/>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6386"/>
  </w:hdrShapeDefaults>
  <w:footnotePr>
    <w:footnote w:id="-1"/>
    <w:footnote w:id="0"/>
  </w:footnotePr>
  <w:endnotePr>
    <w:endnote w:id="-1"/>
    <w:endnote w:id="0"/>
  </w:endnotePr>
  <w:compat/>
  <w:rsids>
    <w:rsidRoot w:val="00330D40"/>
    <w:rsid w:val="000051BF"/>
    <w:rsid w:val="0001428D"/>
    <w:rsid w:val="00015487"/>
    <w:rsid w:val="00021471"/>
    <w:rsid w:val="000252D9"/>
    <w:rsid w:val="00027FAC"/>
    <w:rsid w:val="00032345"/>
    <w:rsid w:val="0004266C"/>
    <w:rsid w:val="000500DE"/>
    <w:rsid w:val="00052293"/>
    <w:rsid w:val="00054DD8"/>
    <w:rsid w:val="000554FA"/>
    <w:rsid w:val="00056399"/>
    <w:rsid w:val="00056617"/>
    <w:rsid w:val="000726F6"/>
    <w:rsid w:val="00076305"/>
    <w:rsid w:val="00080CD4"/>
    <w:rsid w:val="000812A4"/>
    <w:rsid w:val="00081416"/>
    <w:rsid w:val="000968E9"/>
    <w:rsid w:val="00096C53"/>
    <w:rsid w:val="000971F3"/>
    <w:rsid w:val="0009752B"/>
    <w:rsid w:val="000A1AB7"/>
    <w:rsid w:val="000A2781"/>
    <w:rsid w:val="000A5BF0"/>
    <w:rsid w:val="000A5C5C"/>
    <w:rsid w:val="000C24AB"/>
    <w:rsid w:val="000C2641"/>
    <w:rsid w:val="000C5BB1"/>
    <w:rsid w:val="000D1E68"/>
    <w:rsid w:val="000D2A86"/>
    <w:rsid w:val="000D42C7"/>
    <w:rsid w:val="000F1B17"/>
    <w:rsid w:val="000F1FE1"/>
    <w:rsid w:val="000F53B1"/>
    <w:rsid w:val="00100498"/>
    <w:rsid w:val="00115A83"/>
    <w:rsid w:val="00122303"/>
    <w:rsid w:val="001314F0"/>
    <w:rsid w:val="00132527"/>
    <w:rsid w:val="00133DE6"/>
    <w:rsid w:val="00134087"/>
    <w:rsid w:val="0013734B"/>
    <w:rsid w:val="00141201"/>
    <w:rsid w:val="00142247"/>
    <w:rsid w:val="0014332D"/>
    <w:rsid w:val="00162503"/>
    <w:rsid w:val="00171483"/>
    <w:rsid w:val="00171962"/>
    <w:rsid w:val="001834CF"/>
    <w:rsid w:val="00184A79"/>
    <w:rsid w:val="00185D3A"/>
    <w:rsid w:val="00191D72"/>
    <w:rsid w:val="001948A6"/>
    <w:rsid w:val="00195C00"/>
    <w:rsid w:val="001A363F"/>
    <w:rsid w:val="001A5F43"/>
    <w:rsid w:val="001A6DA6"/>
    <w:rsid w:val="001B3788"/>
    <w:rsid w:val="001B39A2"/>
    <w:rsid w:val="001C3176"/>
    <w:rsid w:val="001C4154"/>
    <w:rsid w:val="001C4D8D"/>
    <w:rsid w:val="001C542D"/>
    <w:rsid w:val="001D3CC3"/>
    <w:rsid w:val="001D5869"/>
    <w:rsid w:val="001E19AD"/>
    <w:rsid w:val="001E2C08"/>
    <w:rsid w:val="001E2DE9"/>
    <w:rsid w:val="001E570D"/>
    <w:rsid w:val="001F4927"/>
    <w:rsid w:val="00200698"/>
    <w:rsid w:val="0020142C"/>
    <w:rsid w:val="00201837"/>
    <w:rsid w:val="00207C97"/>
    <w:rsid w:val="00210218"/>
    <w:rsid w:val="00213EF5"/>
    <w:rsid w:val="0021600D"/>
    <w:rsid w:val="002236D3"/>
    <w:rsid w:val="002243E3"/>
    <w:rsid w:val="002254DC"/>
    <w:rsid w:val="002338F1"/>
    <w:rsid w:val="002346A7"/>
    <w:rsid w:val="002376BB"/>
    <w:rsid w:val="00262C61"/>
    <w:rsid w:val="002642AF"/>
    <w:rsid w:val="00271FD5"/>
    <w:rsid w:val="00275267"/>
    <w:rsid w:val="00276FC0"/>
    <w:rsid w:val="00277C60"/>
    <w:rsid w:val="0028246E"/>
    <w:rsid w:val="0028252D"/>
    <w:rsid w:val="002876A9"/>
    <w:rsid w:val="00294485"/>
    <w:rsid w:val="002945BB"/>
    <w:rsid w:val="002A4654"/>
    <w:rsid w:val="002A68C6"/>
    <w:rsid w:val="002B05D7"/>
    <w:rsid w:val="002B1933"/>
    <w:rsid w:val="002C1A42"/>
    <w:rsid w:val="002C6F58"/>
    <w:rsid w:val="002D3D9B"/>
    <w:rsid w:val="002D7D0F"/>
    <w:rsid w:val="002E442E"/>
    <w:rsid w:val="002F105B"/>
    <w:rsid w:val="002F4C78"/>
    <w:rsid w:val="002F6347"/>
    <w:rsid w:val="0030429B"/>
    <w:rsid w:val="003042D1"/>
    <w:rsid w:val="00306CA9"/>
    <w:rsid w:val="00312317"/>
    <w:rsid w:val="00312646"/>
    <w:rsid w:val="00312CDF"/>
    <w:rsid w:val="00313429"/>
    <w:rsid w:val="00313444"/>
    <w:rsid w:val="0031344A"/>
    <w:rsid w:val="003144D1"/>
    <w:rsid w:val="00317FB3"/>
    <w:rsid w:val="00320FD2"/>
    <w:rsid w:val="00330D40"/>
    <w:rsid w:val="003373C0"/>
    <w:rsid w:val="003407D8"/>
    <w:rsid w:val="00342446"/>
    <w:rsid w:val="00344B5B"/>
    <w:rsid w:val="0034654D"/>
    <w:rsid w:val="003505DE"/>
    <w:rsid w:val="00350ABA"/>
    <w:rsid w:val="003517B4"/>
    <w:rsid w:val="00352650"/>
    <w:rsid w:val="003541D3"/>
    <w:rsid w:val="003553AC"/>
    <w:rsid w:val="00355711"/>
    <w:rsid w:val="00361113"/>
    <w:rsid w:val="00373149"/>
    <w:rsid w:val="00382F24"/>
    <w:rsid w:val="00385450"/>
    <w:rsid w:val="003872D1"/>
    <w:rsid w:val="00392865"/>
    <w:rsid w:val="00393CD9"/>
    <w:rsid w:val="003A13C6"/>
    <w:rsid w:val="003A4873"/>
    <w:rsid w:val="003A62BC"/>
    <w:rsid w:val="003B59E6"/>
    <w:rsid w:val="003B5EDE"/>
    <w:rsid w:val="003C1213"/>
    <w:rsid w:val="003D0800"/>
    <w:rsid w:val="003D1CA2"/>
    <w:rsid w:val="003D4F19"/>
    <w:rsid w:val="003D5A35"/>
    <w:rsid w:val="003D5B4E"/>
    <w:rsid w:val="003E4544"/>
    <w:rsid w:val="003F4B10"/>
    <w:rsid w:val="003F75AE"/>
    <w:rsid w:val="00403B0E"/>
    <w:rsid w:val="00406314"/>
    <w:rsid w:val="00411BF6"/>
    <w:rsid w:val="004127D5"/>
    <w:rsid w:val="0041528E"/>
    <w:rsid w:val="0041673F"/>
    <w:rsid w:val="00417CC8"/>
    <w:rsid w:val="00421210"/>
    <w:rsid w:val="00424272"/>
    <w:rsid w:val="004243EE"/>
    <w:rsid w:val="00434763"/>
    <w:rsid w:val="004402FF"/>
    <w:rsid w:val="004447B8"/>
    <w:rsid w:val="00447BB8"/>
    <w:rsid w:val="00454BB2"/>
    <w:rsid w:val="004551D3"/>
    <w:rsid w:val="00457160"/>
    <w:rsid w:val="0046626F"/>
    <w:rsid w:val="00466573"/>
    <w:rsid w:val="004712F7"/>
    <w:rsid w:val="00472611"/>
    <w:rsid w:val="00475E08"/>
    <w:rsid w:val="00477F4B"/>
    <w:rsid w:val="004858AD"/>
    <w:rsid w:val="00492338"/>
    <w:rsid w:val="00492FB9"/>
    <w:rsid w:val="00493AD9"/>
    <w:rsid w:val="00495CF6"/>
    <w:rsid w:val="00496FF0"/>
    <w:rsid w:val="004A28FA"/>
    <w:rsid w:val="004A676C"/>
    <w:rsid w:val="004B0EE9"/>
    <w:rsid w:val="004B2146"/>
    <w:rsid w:val="004B6481"/>
    <w:rsid w:val="004B7BD2"/>
    <w:rsid w:val="004B7E03"/>
    <w:rsid w:val="004B7E76"/>
    <w:rsid w:val="004C5BC8"/>
    <w:rsid w:val="004D70D8"/>
    <w:rsid w:val="004F1E1F"/>
    <w:rsid w:val="004F4A1C"/>
    <w:rsid w:val="00504162"/>
    <w:rsid w:val="00505C51"/>
    <w:rsid w:val="005125DB"/>
    <w:rsid w:val="005144C3"/>
    <w:rsid w:val="00514B79"/>
    <w:rsid w:val="00525E92"/>
    <w:rsid w:val="00526C92"/>
    <w:rsid w:val="005457CD"/>
    <w:rsid w:val="00551838"/>
    <w:rsid w:val="005567DF"/>
    <w:rsid w:val="00560E50"/>
    <w:rsid w:val="00562BA5"/>
    <w:rsid w:val="00562FD7"/>
    <w:rsid w:val="005652CC"/>
    <w:rsid w:val="005658BD"/>
    <w:rsid w:val="0057388B"/>
    <w:rsid w:val="00573986"/>
    <w:rsid w:val="00581D12"/>
    <w:rsid w:val="005836FB"/>
    <w:rsid w:val="00584A8A"/>
    <w:rsid w:val="005927C1"/>
    <w:rsid w:val="005A18D9"/>
    <w:rsid w:val="005B03B3"/>
    <w:rsid w:val="005B07E1"/>
    <w:rsid w:val="005B5D44"/>
    <w:rsid w:val="005C083A"/>
    <w:rsid w:val="005C24FD"/>
    <w:rsid w:val="005C3F6E"/>
    <w:rsid w:val="005D315A"/>
    <w:rsid w:val="005D7C39"/>
    <w:rsid w:val="005F3B23"/>
    <w:rsid w:val="005F4F56"/>
    <w:rsid w:val="005F7649"/>
    <w:rsid w:val="006146B2"/>
    <w:rsid w:val="006168AD"/>
    <w:rsid w:val="00617C77"/>
    <w:rsid w:val="0062025E"/>
    <w:rsid w:val="006270C0"/>
    <w:rsid w:val="006275D5"/>
    <w:rsid w:val="00633B31"/>
    <w:rsid w:val="006364C4"/>
    <w:rsid w:val="006401EB"/>
    <w:rsid w:val="00644826"/>
    <w:rsid w:val="0064556F"/>
    <w:rsid w:val="00646E03"/>
    <w:rsid w:val="00652B64"/>
    <w:rsid w:val="0065577F"/>
    <w:rsid w:val="006563AF"/>
    <w:rsid w:val="00661946"/>
    <w:rsid w:val="006643E7"/>
    <w:rsid w:val="006647A2"/>
    <w:rsid w:val="00675130"/>
    <w:rsid w:val="00675E18"/>
    <w:rsid w:val="00684F5B"/>
    <w:rsid w:val="0069044E"/>
    <w:rsid w:val="00696876"/>
    <w:rsid w:val="00697419"/>
    <w:rsid w:val="006A3000"/>
    <w:rsid w:val="006B2E97"/>
    <w:rsid w:val="006B38B3"/>
    <w:rsid w:val="006C1D69"/>
    <w:rsid w:val="006C2435"/>
    <w:rsid w:val="006D0A76"/>
    <w:rsid w:val="006E1F70"/>
    <w:rsid w:val="006E555A"/>
    <w:rsid w:val="006E559A"/>
    <w:rsid w:val="006F0CF9"/>
    <w:rsid w:val="006F5974"/>
    <w:rsid w:val="00707026"/>
    <w:rsid w:val="0072534E"/>
    <w:rsid w:val="0073499A"/>
    <w:rsid w:val="0073727E"/>
    <w:rsid w:val="00737CD7"/>
    <w:rsid w:val="0074270B"/>
    <w:rsid w:val="00760833"/>
    <w:rsid w:val="00762CAE"/>
    <w:rsid w:val="007661B8"/>
    <w:rsid w:val="0077248A"/>
    <w:rsid w:val="00785CFB"/>
    <w:rsid w:val="007900CD"/>
    <w:rsid w:val="007905AF"/>
    <w:rsid w:val="00791AEB"/>
    <w:rsid w:val="007950DC"/>
    <w:rsid w:val="007971D5"/>
    <w:rsid w:val="00797BE8"/>
    <w:rsid w:val="007A11BB"/>
    <w:rsid w:val="007A3C59"/>
    <w:rsid w:val="007A4C4B"/>
    <w:rsid w:val="007C12A8"/>
    <w:rsid w:val="007C2C25"/>
    <w:rsid w:val="007D286F"/>
    <w:rsid w:val="007E12C3"/>
    <w:rsid w:val="007E4A0D"/>
    <w:rsid w:val="007F7613"/>
    <w:rsid w:val="00810C58"/>
    <w:rsid w:val="00810DC8"/>
    <w:rsid w:val="00811167"/>
    <w:rsid w:val="00815C9E"/>
    <w:rsid w:val="008170A5"/>
    <w:rsid w:val="00820B78"/>
    <w:rsid w:val="0082359A"/>
    <w:rsid w:val="00830FA4"/>
    <w:rsid w:val="00832BE1"/>
    <w:rsid w:val="00852174"/>
    <w:rsid w:val="008522DA"/>
    <w:rsid w:val="008604B7"/>
    <w:rsid w:val="0086293D"/>
    <w:rsid w:val="00863739"/>
    <w:rsid w:val="0086454B"/>
    <w:rsid w:val="00866BF2"/>
    <w:rsid w:val="00872080"/>
    <w:rsid w:val="008759EF"/>
    <w:rsid w:val="00875E3F"/>
    <w:rsid w:val="00876408"/>
    <w:rsid w:val="00880D55"/>
    <w:rsid w:val="0088196B"/>
    <w:rsid w:val="00890E91"/>
    <w:rsid w:val="00896D6E"/>
    <w:rsid w:val="008A0AB1"/>
    <w:rsid w:val="008A514F"/>
    <w:rsid w:val="008B1005"/>
    <w:rsid w:val="008B550B"/>
    <w:rsid w:val="008C1B32"/>
    <w:rsid w:val="008C3A6B"/>
    <w:rsid w:val="008D10DF"/>
    <w:rsid w:val="008D137C"/>
    <w:rsid w:val="008D38A1"/>
    <w:rsid w:val="008F0ED3"/>
    <w:rsid w:val="008F40DA"/>
    <w:rsid w:val="0091488B"/>
    <w:rsid w:val="0092066E"/>
    <w:rsid w:val="009207D0"/>
    <w:rsid w:val="009219C5"/>
    <w:rsid w:val="00923270"/>
    <w:rsid w:val="00925DE8"/>
    <w:rsid w:val="00925E59"/>
    <w:rsid w:val="0093393B"/>
    <w:rsid w:val="009370A4"/>
    <w:rsid w:val="00940279"/>
    <w:rsid w:val="00944367"/>
    <w:rsid w:val="00946FC0"/>
    <w:rsid w:val="0095120A"/>
    <w:rsid w:val="009529BA"/>
    <w:rsid w:val="009570AF"/>
    <w:rsid w:val="00960FF2"/>
    <w:rsid w:val="0096394B"/>
    <w:rsid w:val="0097460F"/>
    <w:rsid w:val="009814B3"/>
    <w:rsid w:val="009816F9"/>
    <w:rsid w:val="00983ABC"/>
    <w:rsid w:val="00984F86"/>
    <w:rsid w:val="009979FA"/>
    <w:rsid w:val="009B13A1"/>
    <w:rsid w:val="009B2708"/>
    <w:rsid w:val="009B4709"/>
    <w:rsid w:val="009C16A3"/>
    <w:rsid w:val="009C72EA"/>
    <w:rsid w:val="009D3886"/>
    <w:rsid w:val="009E12E3"/>
    <w:rsid w:val="009E305E"/>
    <w:rsid w:val="009E42B4"/>
    <w:rsid w:val="009E4C15"/>
    <w:rsid w:val="009E4CF0"/>
    <w:rsid w:val="009E5386"/>
    <w:rsid w:val="009E6A18"/>
    <w:rsid w:val="009F5273"/>
    <w:rsid w:val="009F5328"/>
    <w:rsid w:val="009F542D"/>
    <w:rsid w:val="009F7766"/>
    <w:rsid w:val="00A00A48"/>
    <w:rsid w:val="00A05B0A"/>
    <w:rsid w:val="00A15A90"/>
    <w:rsid w:val="00A17925"/>
    <w:rsid w:val="00A20FBD"/>
    <w:rsid w:val="00A22A2B"/>
    <w:rsid w:val="00A31CC2"/>
    <w:rsid w:val="00A35AA0"/>
    <w:rsid w:val="00A374E4"/>
    <w:rsid w:val="00A423CA"/>
    <w:rsid w:val="00A43E41"/>
    <w:rsid w:val="00A43EAF"/>
    <w:rsid w:val="00A464EE"/>
    <w:rsid w:val="00A47B72"/>
    <w:rsid w:val="00A50A31"/>
    <w:rsid w:val="00A51806"/>
    <w:rsid w:val="00A51E64"/>
    <w:rsid w:val="00A54854"/>
    <w:rsid w:val="00A642B2"/>
    <w:rsid w:val="00A64E06"/>
    <w:rsid w:val="00A75C26"/>
    <w:rsid w:val="00A835F7"/>
    <w:rsid w:val="00A83E88"/>
    <w:rsid w:val="00A84FB1"/>
    <w:rsid w:val="00A8563E"/>
    <w:rsid w:val="00A907AE"/>
    <w:rsid w:val="00A950E5"/>
    <w:rsid w:val="00A97CBC"/>
    <w:rsid w:val="00AA51EE"/>
    <w:rsid w:val="00AA75E8"/>
    <w:rsid w:val="00AB3C93"/>
    <w:rsid w:val="00AC467C"/>
    <w:rsid w:val="00AC5A83"/>
    <w:rsid w:val="00AC5EAE"/>
    <w:rsid w:val="00AC6292"/>
    <w:rsid w:val="00AC7D08"/>
    <w:rsid w:val="00AD3183"/>
    <w:rsid w:val="00AE27A4"/>
    <w:rsid w:val="00AE470B"/>
    <w:rsid w:val="00AE5DB1"/>
    <w:rsid w:val="00AF447A"/>
    <w:rsid w:val="00B01C6E"/>
    <w:rsid w:val="00B02F34"/>
    <w:rsid w:val="00B05891"/>
    <w:rsid w:val="00B15BF8"/>
    <w:rsid w:val="00B166FB"/>
    <w:rsid w:val="00B202F4"/>
    <w:rsid w:val="00B2146C"/>
    <w:rsid w:val="00B2148E"/>
    <w:rsid w:val="00B25745"/>
    <w:rsid w:val="00B3446B"/>
    <w:rsid w:val="00B34C40"/>
    <w:rsid w:val="00B51D9B"/>
    <w:rsid w:val="00B553DF"/>
    <w:rsid w:val="00B57256"/>
    <w:rsid w:val="00B57A9F"/>
    <w:rsid w:val="00B679F3"/>
    <w:rsid w:val="00B70B9C"/>
    <w:rsid w:val="00B70F9F"/>
    <w:rsid w:val="00B71A14"/>
    <w:rsid w:val="00B76790"/>
    <w:rsid w:val="00B816B5"/>
    <w:rsid w:val="00B81FED"/>
    <w:rsid w:val="00B853A6"/>
    <w:rsid w:val="00B86943"/>
    <w:rsid w:val="00B90D5D"/>
    <w:rsid w:val="00BA08E6"/>
    <w:rsid w:val="00BA09A8"/>
    <w:rsid w:val="00BA0FFA"/>
    <w:rsid w:val="00BA6331"/>
    <w:rsid w:val="00BB4291"/>
    <w:rsid w:val="00BB560D"/>
    <w:rsid w:val="00BC41F9"/>
    <w:rsid w:val="00BC4A4B"/>
    <w:rsid w:val="00BC55B2"/>
    <w:rsid w:val="00BC5B39"/>
    <w:rsid w:val="00BD2252"/>
    <w:rsid w:val="00BD41BF"/>
    <w:rsid w:val="00BD57B7"/>
    <w:rsid w:val="00BD587B"/>
    <w:rsid w:val="00BD7277"/>
    <w:rsid w:val="00BE367E"/>
    <w:rsid w:val="00BE43FF"/>
    <w:rsid w:val="00BE6B75"/>
    <w:rsid w:val="00BF01AD"/>
    <w:rsid w:val="00BF4ABC"/>
    <w:rsid w:val="00C068CF"/>
    <w:rsid w:val="00C10AA0"/>
    <w:rsid w:val="00C20940"/>
    <w:rsid w:val="00C237F7"/>
    <w:rsid w:val="00C251B1"/>
    <w:rsid w:val="00C25F23"/>
    <w:rsid w:val="00C26779"/>
    <w:rsid w:val="00C3017F"/>
    <w:rsid w:val="00C4188B"/>
    <w:rsid w:val="00C4470E"/>
    <w:rsid w:val="00C4711F"/>
    <w:rsid w:val="00C47407"/>
    <w:rsid w:val="00C501D6"/>
    <w:rsid w:val="00C5483C"/>
    <w:rsid w:val="00C56619"/>
    <w:rsid w:val="00C61E2E"/>
    <w:rsid w:val="00C85224"/>
    <w:rsid w:val="00C87E08"/>
    <w:rsid w:val="00C906C1"/>
    <w:rsid w:val="00C9330A"/>
    <w:rsid w:val="00CA138D"/>
    <w:rsid w:val="00CA4EAF"/>
    <w:rsid w:val="00CB060F"/>
    <w:rsid w:val="00CB1EF7"/>
    <w:rsid w:val="00CB4011"/>
    <w:rsid w:val="00CB4B78"/>
    <w:rsid w:val="00CB6034"/>
    <w:rsid w:val="00CC108C"/>
    <w:rsid w:val="00CC5A3C"/>
    <w:rsid w:val="00CC777C"/>
    <w:rsid w:val="00CE0DFD"/>
    <w:rsid w:val="00CE2998"/>
    <w:rsid w:val="00CE5547"/>
    <w:rsid w:val="00CF185D"/>
    <w:rsid w:val="00D2070A"/>
    <w:rsid w:val="00D27492"/>
    <w:rsid w:val="00D31D3D"/>
    <w:rsid w:val="00D3559C"/>
    <w:rsid w:val="00D35770"/>
    <w:rsid w:val="00D43CFB"/>
    <w:rsid w:val="00D47649"/>
    <w:rsid w:val="00D505B6"/>
    <w:rsid w:val="00D556D2"/>
    <w:rsid w:val="00D57441"/>
    <w:rsid w:val="00D61494"/>
    <w:rsid w:val="00D61C3B"/>
    <w:rsid w:val="00D6336B"/>
    <w:rsid w:val="00D64359"/>
    <w:rsid w:val="00D643D6"/>
    <w:rsid w:val="00D6651C"/>
    <w:rsid w:val="00D67B2A"/>
    <w:rsid w:val="00D67B49"/>
    <w:rsid w:val="00D72295"/>
    <w:rsid w:val="00D763CA"/>
    <w:rsid w:val="00D941FE"/>
    <w:rsid w:val="00DA1BD0"/>
    <w:rsid w:val="00DB10A9"/>
    <w:rsid w:val="00DC10DC"/>
    <w:rsid w:val="00DC2816"/>
    <w:rsid w:val="00DC7619"/>
    <w:rsid w:val="00DC7C2C"/>
    <w:rsid w:val="00DD0536"/>
    <w:rsid w:val="00DD6EBB"/>
    <w:rsid w:val="00DE205D"/>
    <w:rsid w:val="00DE2BAF"/>
    <w:rsid w:val="00DE3D94"/>
    <w:rsid w:val="00DE7DB3"/>
    <w:rsid w:val="00DF2D9D"/>
    <w:rsid w:val="00E0172A"/>
    <w:rsid w:val="00E075E8"/>
    <w:rsid w:val="00E2047B"/>
    <w:rsid w:val="00E2364D"/>
    <w:rsid w:val="00E240D2"/>
    <w:rsid w:val="00E25F80"/>
    <w:rsid w:val="00E325EC"/>
    <w:rsid w:val="00E36549"/>
    <w:rsid w:val="00E413DD"/>
    <w:rsid w:val="00E479CD"/>
    <w:rsid w:val="00E54C0E"/>
    <w:rsid w:val="00E54F85"/>
    <w:rsid w:val="00E55777"/>
    <w:rsid w:val="00E637D6"/>
    <w:rsid w:val="00E65B89"/>
    <w:rsid w:val="00E66AE4"/>
    <w:rsid w:val="00E7254B"/>
    <w:rsid w:val="00E746E8"/>
    <w:rsid w:val="00E74987"/>
    <w:rsid w:val="00E80148"/>
    <w:rsid w:val="00E8227F"/>
    <w:rsid w:val="00E90D12"/>
    <w:rsid w:val="00E918C6"/>
    <w:rsid w:val="00EA7053"/>
    <w:rsid w:val="00EA76A9"/>
    <w:rsid w:val="00EB1A4D"/>
    <w:rsid w:val="00EC233B"/>
    <w:rsid w:val="00EC4AF1"/>
    <w:rsid w:val="00EC670F"/>
    <w:rsid w:val="00ED217E"/>
    <w:rsid w:val="00ED702C"/>
    <w:rsid w:val="00EF362A"/>
    <w:rsid w:val="00EF6CD5"/>
    <w:rsid w:val="00F03D3F"/>
    <w:rsid w:val="00F10033"/>
    <w:rsid w:val="00F15D76"/>
    <w:rsid w:val="00F16B1D"/>
    <w:rsid w:val="00F21571"/>
    <w:rsid w:val="00F23787"/>
    <w:rsid w:val="00F2599F"/>
    <w:rsid w:val="00F2615A"/>
    <w:rsid w:val="00F26695"/>
    <w:rsid w:val="00F26B42"/>
    <w:rsid w:val="00F35463"/>
    <w:rsid w:val="00F43DB5"/>
    <w:rsid w:val="00F47A29"/>
    <w:rsid w:val="00F5180B"/>
    <w:rsid w:val="00F5250F"/>
    <w:rsid w:val="00F55D13"/>
    <w:rsid w:val="00F5650D"/>
    <w:rsid w:val="00F64125"/>
    <w:rsid w:val="00F66864"/>
    <w:rsid w:val="00F67427"/>
    <w:rsid w:val="00F75160"/>
    <w:rsid w:val="00F7518D"/>
    <w:rsid w:val="00F82D01"/>
    <w:rsid w:val="00F84F34"/>
    <w:rsid w:val="00F871FB"/>
    <w:rsid w:val="00F9195C"/>
    <w:rsid w:val="00F971E3"/>
    <w:rsid w:val="00FA19C8"/>
    <w:rsid w:val="00FB5463"/>
    <w:rsid w:val="00FC4BE2"/>
    <w:rsid w:val="00FD016A"/>
    <w:rsid w:val="00FD0AC7"/>
    <w:rsid w:val="00FD4D69"/>
    <w:rsid w:val="00FD57BD"/>
    <w:rsid w:val="00FE59F0"/>
    <w:rsid w:val="00FE5C23"/>
    <w:rsid w:val="00FF26AA"/>
    <w:rsid w:val="00FF2B90"/>
    <w:rsid w:val="00FF7B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7D8"/>
  </w:style>
  <w:style w:type="paragraph" w:styleId="Heading2">
    <w:name w:val="heading 2"/>
    <w:basedOn w:val="Normal"/>
    <w:next w:val="Normal"/>
    <w:link w:val="Heading2Char"/>
    <w:uiPriority w:val="9"/>
    <w:unhideWhenUsed/>
    <w:qFormat/>
    <w:rsid w:val="009639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84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71F"/>
    <w:rPr>
      <w:rFonts w:ascii="Lucida Grande" w:hAnsi="Lucida Grande"/>
      <w:sz w:val="18"/>
      <w:szCs w:val="18"/>
    </w:rPr>
  </w:style>
  <w:style w:type="character" w:styleId="Hyperlink">
    <w:name w:val="Hyperlink"/>
    <w:basedOn w:val="DefaultParagraphFont"/>
    <w:uiPriority w:val="99"/>
    <w:unhideWhenUsed/>
    <w:rsid w:val="00330D40"/>
    <w:rPr>
      <w:color w:val="0000FF" w:themeColor="hyperlink"/>
      <w:u w:val="single"/>
    </w:rPr>
  </w:style>
  <w:style w:type="paragraph" w:styleId="ListParagraph">
    <w:name w:val="List Paragraph"/>
    <w:basedOn w:val="Normal"/>
    <w:uiPriority w:val="34"/>
    <w:qFormat/>
    <w:rsid w:val="00785CFB"/>
    <w:pPr>
      <w:ind w:left="720"/>
      <w:contextualSpacing/>
    </w:pPr>
  </w:style>
  <w:style w:type="character" w:customStyle="1" w:styleId="Heading2Char">
    <w:name w:val="Heading 2 Char"/>
    <w:basedOn w:val="DefaultParagraphFont"/>
    <w:link w:val="Heading2"/>
    <w:uiPriority w:val="9"/>
    <w:rsid w:val="0096394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84A79"/>
    <w:rPr>
      <w:sz w:val="16"/>
      <w:szCs w:val="16"/>
    </w:rPr>
  </w:style>
  <w:style w:type="paragraph" w:styleId="CommentText">
    <w:name w:val="annotation text"/>
    <w:basedOn w:val="Normal"/>
    <w:link w:val="CommentTextChar"/>
    <w:uiPriority w:val="99"/>
    <w:semiHidden/>
    <w:unhideWhenUsed/>
    <w:rsid w:val="00184A79"/>
    <w:pPr>
      <w:spacing w:line="240" w:lineRule="auto"/>
    </w:pPr>
    <w:rPr>
      <w:sz w:val="20"/>
      <w:szCs w:val="20"/>
    </w:rPr>
  </w:style>
  <w:style w:type="character" w:customStyle="1" w:styleId="CommentTextChar">
    <w:name w:val="Comment Text Char"/>
    <w:basedOn w:val="DefaultParagraphFont"/>
    <w:link w:val="CommentText"/>
    <w:uiPriority w:val="99"/>
    <w:semiHidden/>
    <w:rsid w:val="00184A79"/>
    <w:rPr>
      <w:sz w:val="20"/>
      <w:szCs w:val="20"/>
    </w:rPr>
  </w:style>
  <w:style w:type="paragraph" w:styleId="CommentSubject">
    <w:name w:val="annotation subject"/>
    <w:basedOn w:val="CommentText"/>
    <w:next w:val="CommentText"/>
    <w:link w:val="CommentSubjectChar"/>
    <w:uiPriority w:val="99"/>
    <w:semiHidden/>
    <w:unhideWhenUsed/>
    <w:rsid w:val="00184A79"/>
    <w:rPr>
      <w:b/>
      <w:bCs/>
    </w:rPr>
  </w:style>
  <w:style w:type="character" w:customStyle="1" w:styleId="CommentSubjectChar">
    <w:name w:val="Comment Subject Char"/>
    <w:basedOn w:val="CommentTextChar"/>
    <w:link w:val="CommentSubject"/>
    <w:uiPriority w:val="99"/>
    <w:semiHidden/>
    <w:rsid w:val="00184A79"/>
    <w:rPr>
      <w:b/>
      <w:bCs/>
      <w:sz w:val="20"/>
      <w:szCs w:val="20"/>
    </w:rPr>
  </w:style>
  <w:style w:type="character" w:customStyle="1" w:styleId="BalloonTextChar1">
    <w:name w:val="Balloon Text Char1"/>
    <w:basedOn w:val="DefaultParagraphFont"/>
    <w:link w:val="BalloonText"/>
    <w:uiPriority w:val="99"/>
    <w:semiHidden/>
    <w:rsid w:val="00184A79"/>
    <w:rPr>
      <w:rFonts w:ascii="Tahoma" w:hAnsi="Tahoma" w:cs="Tahoma"/>
      <w:sz w:val="16"/>
      <w:szCs w:val="16"/>
    </w:rPr>
  </w:style>
  <w:style w:type="paragraph" w:styleId="Header">
    <w:name w:val="header"/>
    <w:basedOn w:val="Normal"/>
    <w:link w:val="HeaderChar"/>
    <w:uiPriority w:val="99"/>
    <w:semiHidden/>
    <w:unhideWhenUsed/>
    <w:rsid w:val="00F871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1FB"/>
  </w:style>
  <w:style w:type="paragraph" w:styleId="Footer">
    <w:name w:val="footer"/>
    <w:basedOn w:val="Normal"/>
    <w:link w:val="FooterChar"/>
    <w:uiPriority w:val="99"/>
    <w:unhideWhenUsed/>
    <w:rsid w:val="00F87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FB"/>
  </w:style>
  <w:style w:type="table" w:styleId="TableGrid">
    <w:name w:val="Table Grid"/>
    <w:basedOn w:val="TableNormal"/>
    <w:uiPriority w:val="59"/>
    <w:rsid w:val="002D3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180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6626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1877322">
      <w:bodyDiv w:val="1"/>
      <w:marLeft w:val="0"/>
      <w:marRight w:val="0"/>
      <w:marTop w:val="0"/>
      <w:marBottom w:val="0"/>
      <w:divBdr>
        <w:top w:val="none" w:sz="0" w:space="0" w:color="auto"/>
        <w:left w:val="none" w:sz="0" w:space="0" w:color="auto"/>
        <w:bottom w:val="none" w:sz="0" w:space="0" w:color="auto"/>
        <w:right w:val="none" w:sz="0" w:space="0" w:color="auto"/>
      </w:divBdr>
    </w:div>
    <w:div w:id="688725577">
      <w:bodyDiv w:val="1"/>
      <w:marLeft w:val="0"/>
      <w:marRight w:val="0"/>
      <w:marTop w:val="0"/>
      <w:marBottom w:val="0"/>
      <w:divBdr>
        <w:top w:val="none" w:sz="0" w:space="0" w:color="auto"/>
        <w:left w:val="none" w:sz="0" w:space="0" w:color="auto"/>
        <w:bottom w:val="none" w:sz="0" w:space="0" w:color="auto"/>
        <w:right w:val="none" w:sz="0" w:space="0" w:color="auto"/>
      </w:divBdr>
    </w:div>
    <w:div w:id="1338926033">
      <w:bodyDiv w:val="1"/>
      <w:marLeft w:val="0"/>
      <w:marRight w:val="0"/>
      <w:marTop w:val="0"/>
      <w:marBottom w:val="0"/>
      <w:divBdr>
        <w:top w:val="none" w:sz="0" w:space="0" w:color="auto"/>
        <w:left w:val="none" w:sz="0" w:space="0" w:color="auto"/>
        <w:bottom w:val="none" w:sz="0" w:space="0" w:color="auto"/>
        <w:right w:val="none" w:sz="0" w:space="0" w:color="auto"/>
      </w:divBdr>
    </w:div>
    <w:div w:id="1711805620">
      <w:bodyDiv w:val="1"/>
      <w:marLeft w:val="0"/>
      <w:marRight w:val="0"/>
      <w:marTop w:val="0"/>
      <w:marBottom w:val="0"/>
      <w:divBdr>
        <w:top w:val="none" w:sz="0" w:space="0" w:color="auto"/>
        <w:left w:val="none" w:sz="0" w:space="0" w:color="auto"/>
        <w:bottom w:val="none" w:sz="0" w:space="0" w:color="auto"/>
        <w:right w:val="none" w:sz="0" w:space="0" w:color="auto"/>
      </w:divBdr>
    </w:div>
    <w:div w:id="1788742698">
      <w:bodyDiv w:val="1"/>
      <w:marLeft w:val="0"/>
      <w:marRight w:val="0"/>
      <w:marTop w:val="0"/>
      <w:marBottom w:val="0"/>
      <w:divBdr>
        <w:top w:val="none" w:sz="0" w:space="0" w:color="auto"/>
        <w:left w:val="none" w:sz="0" w:space="0" w:color="auto"/>
        <w:bottom w:val="none" w:sz="0" w:space="0" w:color="auto"/>
        <w:right w:val="none" w:sz="0" w:space="0" w:color="auto"/>
      </w:divBdr>
    </w:div>
    <w:div w:id="19702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60BA-AFBF-43EA-AEA6-44F45D38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7651</Words>
  <Characters>40556</Characters>
  <Application>Microsoft Office Word</Application>
  <DocSecurity>0</DocSecurity>
  <Lines>614</Lines>
  <Paragraphs>117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Edsall</dc:creator>
  <cp:lastModifiedBy>Sabrina Buckwalter</cp:lastModifiedBy>
  <cp:revision>2</cp:revision>
  <cp:lastPrinted>2011-11-16T21:18:00Z</cp:lastPrinted>
  <dcterms:created xsi:type="dcterms:W3CDTF">2011-12-06T21:44:00Z</dcterms:created>
  <dcterms:modified xsi:type="dcterms:W3CDTF">2011-12-06T21:44:00Z</dcterms:modified>
</cp:coreProperties>
</file>